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BBB" w:rsidRPr="00227B1B" w:rsidRDefault="00D55DD6" w:rsidP="00062426">
      <w:pPr>
        <w:jc w:val="center"/>
        <w:rPr>
          <w:b/>
          <w:sz w:val="26"/>
          <w:szCs w:val="26"/>
          <w:lang w:val="en-GB"/>
        </w:rPr>
      </w:pPr>
      <w:r w:rsidRPr="00227B1B">
        <w:rPr>
          <w:b/>
          <w:sz w:val="26"/>
          <w:szCs w:val="26"/>
          <w:lang w:val="en-GB"/>
        </w:rPr>
        <w:t>Evaluation of Questionnaires – Moldova</w:t>
      </w:r>
    </w:p>
    <w:p w:rsidR="00D55DD6" w:rsidRPr="00227B1B" w:rsidRDefault="00D55DD6">
      <w:pPr>
        <w:rPr>
          <w:lang w:val="en-GB"/>
        </w:rPr>
      </w:pPr>
    </w:p>
    <w:p w:rsidR="002C37DE" w:rsidRPr="00227B1B" w:rsidRDefault="004464D8" w:rsidP="00C56A01">
      <w:pPr>
        <w:jc w:val="both"/>
        <w:rPr>
          <w:lang w:val="en-GB"/>
        </w:rPr>
      </w:pPr>
      <w:r w:rsidRPr="00227B1B">
        <w:rPr>
          <w:lang w:val="en-GB"/>
        </w:rPr>
        <w:t xml:space="preserve">As part of the project, a uniform questionnaire has been prepared and sent out to various stakeholders and experts. </w:t>
      </w:r>
      <w:r w:rsidR="000177D0" w:rsidRPr="00227B1B">
        <w:rPr>
          <w:lang w:val="en-GB"/>
        </w:rPr>
        <w:t>More than 50</w:t>
      </w:r>
      <w:r w:rsidRPr="00227B1B">
        <w:rPr>
          <w:lang w:val="en-GB"/>
        </w:rPr>
        <w:t xml:space="preserve"> persons/organisations were targeted, of which 11 answered the questionnaire positively.  </w:t>
      </w:r>
      <w:r w:rsidR="000177D0" w:rsidRPr="00227B1B">
        <w:rPr>
          <w:lang w:val="en-GB"/>
        </w:rPr>
        <w:t>Targeted organisations included: ministries and other policy actors, S</w:t>
      </w:r>
      <w:r w:rsidR="00B91A48">
        <w:rPr>
          <w:lang w:val="en-GB"/>
        </w:rPr>
        <w:t>ME organisations, agricultural associations</w:t>
      </w:r>
      <w:r w:rsidR="000177D0" w:rsidRPr="00227B1B">
        <w:rPr>
          <w:lang w:val="en-GB"/>
        </w:rPr>
        <w:t xml:space="preserve">, think tanks and expert groups, banks dealing with SME financing and local representatives of international organisations. </w:t>
      </w:r>
      <w:r w:rsidR="002C37DE" w:rsidRPr="00227B1B">
        <w:rPr>
          <w:lang w:val="en-GB"/>
        </w:rPr>
        <w:t xml:space="preserve">Hereby we analyse the results of the replies. </w:t>
      </w:r>
      <w:r w:rsidR="009D06A4" w:rsidRPr="00227B1B">
        <w:rPr>
          <w:lang w:val="en-GB"/>
        </w:rPr>
        <w:t>The questionnaire was translated into Moldavian. In this analysis, we use the English terms of the questionnaire.</w:t>
      </w:r>
      <w:r w:rsidR="00A964B7" w:rsidRPr="00227B1B">
        <w:rPr>
          <w:lang w:val="en-GB"/>
        </w:rPr>
        <w:t xml:space="preserve"> The target group was also reminded via phone calls to fill out the questionnaire. </w:t>
      </w:r>
    </w:p>
    <w:p w:rsidR="002C37DE" w:rsidRPr="00227B1B" w:rsidRDefault="00E2741D" w:rsidP="00CC77AD">
      <w:pPr>
        <w:jc w:val="both"/>
        <w:rPr>
          <w:lang w:val="en-GB"/>
        </w:rPr>
      </w:pPr>
      <w:r w:rsidRPr="00227B1B">
        <w:rPr>
          <w:lang w:val="en-GB"/>
        </w:rPr>
        <w:t>In t</w:t>
      </w:r>
      <w:r w:rsidR="002C37DE" w:rsidRPr="00227B1B">
        <w:rPr>
          <w:lang w:val="en-GB"/>
        </w:rPr>
        <w:t>he</w:t>
      </w:r>
      <w:r w:rsidR="00152D3E" w:rsidRPr="00227B1B">
        <w:rPr>
          <w:lang w:val="en-GB"/>
        </w:rPr>
        <w:t xml:space="preserve"> </w:t>
      </w:r>
      <w:r w:rsidR="003C24B0" w:rsidRPr="00227B1B">
        <w:rPr>
          <w:lang w:val="en-GB"/>
        </w:rPr>
        <w:t xml:space="preserve">first part of the </w:t>
      </w:r>
      <w:r w:rsidR="00152D3E" w:rsidRPr="00227B1B">
        <w:rPr>
          <w:lang w:val="en-GB"/>
        </w:rPr>
        <w:t xml:space="preserve">questionnaire template, respondents were asked to evaluate, to what extent the factors listed were impeding the development and activities of SMEs in the </w:t>
      </w:r>
      <w:r w:rsidR="00C60C35" w:rsidRPr="00227B1B">
        <w:rPr>
          <w:lang w:val="en-GB"/>
        </w:rPr>
        <w:t xml:space="preserve">country. </w:t>
      </w:r>
      <w:r w:rsidR="00FB50D2" w:rsidRPr="00227B1B">
        <w:rPr>
          <w:lang w:val="en-GB"/>
        </w:rPr>
        <w:t xml:space="preserve">On a 1-4 scale, 1 represented “not at all”, 2 represented “somewhat”, 3 stood for “significantly”, 4 meant “very significantly”. </w:t>
      </w:r>
      <w:r w:rsidR="0092609B" w:rsidRPr="00227B1B">
        <w:rPr>
          <w:lang w:val="en-GB"/>
        </w:rPr>
        <w:t xml:space="preserve">NA was provided when the respondent did not / could not answer. </w:t>
      </w:r>
    </w:p>
    <w:p w:rsidR="00152D3E" w:rsidRPr="00227B1B" w:rsidRDefault="0092609B" w:rsidP="00CC77AD">
      <w:pPr>
        <w:jc w:val="both"/>
        <w:rPr>
          <w:lang w:val="en-GB"/>
        </w:rPr>
      </w:pPr>
      <w:r w:rsidRPr="00227B1B">
        <w:rPr>
          <w:lang w:val="en-GB"/>
        </w:rPr>
        <w:t xml:space="preserve">Parallel to this exercise, respondents were asked to mark “help” </w:t>
      </w:r>
      <w:r w:rsidR="00E01181" w:rsidRPr="00227B1B">
        <w:rPr>
          <w:lang w:val="en-GB"/>
        </w:rPr>
        <w:t xml:space="preserve">in case they think that an intervention by the GMU Project would be advised and welcome. Some respondents </w:t>
      </w:r>
      <w:r w:rsidR="00CC77AD" w:rsidRPr="00227B1B">
        <w:rPr>
          <w:lang w:val="en-GB"/>
        </w:rPr>
        <w:t xml:space="preserve">marked (or not marked) “help” parallel to giving a number from 1-4 signalling the importance of the given </w:t>
      </w:r>
      <w:r w:rsidR="00C249B8" w:rsidRPr="00227B1B">
        <w:rPr>
          <w:lang w:val="en-GB"/>
        </w:rPr>
        <w:t>topic</w:t>
      </w:r>
      <w:r w:rsidR="00CC77AD" w:rsidRPr="00227B1B">
        <w:rPr>
          <w:lang w:val="en-GB"/>
        </w:rPr>
        <w:t xml:space="preserve">, </w:t>
      </w:r>
      <w:r w:rsidR="00B92681" w:rsidRPr="00227B1B">
        <w:rPr>
          <w:lang w:val="en-GB"/>
        </w:rPr>
        <w:t xml:space="preserve">but </w:t>
      </w:r>
      <w:r w:rsidR="00CC77AD" w:rsidRPr="00227B1B">
        <w:rPr>
          <w:lang w:val="en-GB"/>
        </w:rPr>
        <w:t>some others understood “help”</w:t>
      </w:r>
      <w:r w:rsidR="00B92681" w:rsidRPr="00227B1B">
        <w:rPr>
          <w:lang w:val="en-GB"/>
        </w:rPr>
        <w:t xml:space="preserve"> as the means to signal “most important, very significant”, </w:t>
      </w:r>
      <w:r w:rsidR="00CC77AD" w:rsidRPr="00227B1B">
        <w:rPr>
          <w:lang w:val="en-GB"/>
        </w:rPr>
        <w:t xml:space="preserve">not giving a value from 1-4 but expressing that </w:t>
      </w:r>
      <w:r w:rsidR="00B92681" w:rsidRPr="00227B1B">
        <w:rPr>
          <w:lang w:val="en-GB"/>
        </w:rPr>
        <w:t>this issue is of crucial importance and policy recommendations and knowledge transfe</w:t>
      </w:r>
      <w:r w:rsidR="00C249B8" w:rsidRPr="00227B1B">
        <w:rPr>
          <w:lang w:val="en-GB"/>
        </w:rPr>
        <w:t>r is most welcome regarding the given obstacle</w:t>
      </w:r>
      <w:r w:rsidR="00B92681" w:rsidRPr="00227B1B">
        <w:rPr>
          <w:lang w:val="en-GB"/>
        </w:rPr>
        <w:t xml:space="preserve">. </w:t>
      </w:r>
    </w:p>
    <w:p w:rsidR="00B92681" w:rsidRPr="00227B1B" w:rsidRDefault="00B92681" w:rsidP="00CC77AD">
      <w:pPr>
        <w:jc w:val="both"/>
        <w:rPr>
          <w:lang w:val="en-GB"/>
        </w:rPr>
      </w:pPr>
      <w:r w:rsidRPr="00227B1B">
        <w:rPr>
          <w:lang w:val="en-GB"/>
        </w:rPr>
        <w:t xml:space="preserve">For methodological/technical reasons, in all of those cases where the respondent was NOT giving a number value BUT marked “help” for a given topic, we understood that </w:t>
      </w:r>
      <w:r w:rsidR="00C13352" w:rsidRPr="00227B1B">
        <w:rPr>
          <w:lang w:val="en-GB"/>
        </w:rPr>
        <w:t xml:space="preserve">they consider the topic as a major obstacle to SME development in the country and calculated in the database with a number 4 value. We analyse the “help” answers separately. </w:t>
      </w:r>
    </w:p>
    <w:p w:rsidR="00C249B8" w:rsidRPr="00227B1B" w:rsidRDefault="00CC2477" w:rsidP="00CC77AD">
      <w:pPr>
        <w:jc w:val="both"/>
        <w:rPr>
          <w:lang w:val="en-GB"/>
        </w:rPr>
      </w:pPr>
      <w:r w:rsidRPr="00227B1B">
        <w:rPr>
          <w:lang w:val="en-GB"/>
        </w:rPr>
        <w:t>The questions targeted six</w:t>
      </w:r>
      <w:r w:rsidR="00C249B8" w:rsidRPr="00227B1B">
        <w:rPr>
          <w:lang w:val="en-GB"/>
        </w:rPr>
        <w:t xml:space="preserve"> domains relevant for the development and daily activities of SMEs. The main domains were: </w:t>
      </w:r>
    </w:p>
    <w:p w:rsidR="00E6480B" w:rsidRPr="00227B1B" w:rsidRDefault="00E6480B" w:rsidP="00E6480B">
      <w:pPr>
        <w:pStyle w:val="Listaszerbekezds"/>
        <w:numPr>
          <w:ilvl w:val="0"/>
          <w:numId w:val="1"/>
        </w:numPr>
        <w:jc w:val="both"/>
        <w:rPr>
          <w:lang w:val="en-GB"/>
        </w:rPr>
      </w:pPr>
      <w:r w:rsidRPr="00227B1B">
        <w:rPr>
          <w:lang w:val="en-GB"/>
        </w:rPr>
        <w:t xml:space="preserve">Labour and skills, </w:t>
      </w:r>
    </w:p>
    <w:p w:rsidR="00E6480B" w:rsidRPr="00227B1B" w:rsidRDefault="00E6480B" w:rsidP="00E6480B">
      <w:pPr>
        <w:pStyle w:val="Listaszerbekezds"/>
        <w:numPr>
          <w:ilvl w:val="0"/>
          <w:numId w:val="1"/>
        </w:numPr>
        <w:jc w:val="both"/>
        <w:rPr>
          <w:lang w:val="en-GB"/>
        </w:rPr>
      </w:pPr>
      <w:r w:rsidRPr="00227B1B">
        <w:rPr>
          <w:lang w:val="en-GB"/>
        </w:rPr>
        <w:t xml:space="preserve">Red tape/bureaucracy, </w:t>
      </w:r>
    </w:p>
    <w:p w:rsidR="00E6480B" w:rsidRPr="00227B1B" w:rsidRDefault="00E6480B" w:rsidP="00E6480B">
      <w:pPr>
        <w:pStyle w:val="Listaszerbekezds"/>
        <w:numPr>
          <w:ilvl w:val="0"/>
          <w:numId w:val="1"/>
        </w:numPr>
        <w:jc w:val="both"/>
        <w:rPr>
          <w:lang w:val="en-GB"/>
        </w:rPr>
      </w:pPr>
      <w:r w:rsidRPr="00227B1B">
        <w:rPr>
          <w:lang w:val="en-GB"/>
        </w:rPr>
        <w:t>Tax burdens,</w:t>
      </w:r>
    </w:p>
    <w:p w:rsidR="00E6480B" w:rsidRPr="00227B1B" w:rsidRDefault="00E6480B" w:rsidP="00E6480B">
      <w:pPr>
        <w:pStyle w:val="Listaszerbekezds"/>
        <w:numPr>
          <w:ilvl w:val="0"/>
          <w:numId w:val="1"/>
        </w:numPr>
        <w:jc w:val="both"/>
        <w:rPr>
          <w:lang w:val="en-GB"/>
        </w:rPr>
      </w:pPr>
      <w:r w:rsidRPr="00227B1B">
        <w:rPr>
          <w:lang w:val="en-GB"/>
        </w:rPr>
        <w:t xml:space="preserve">Law and order, </w:t>
      </w:r>
    </w:p>
    <w:p w:rsidR="00E6480B" w:rsidRPr="00227B1B" w:rsidRDefault="00E6480B" w:rsidP="00E6480B">
      <w:pPr>
        <w:pStyle w:val="Listaszerbekezds"/>
        <w:numPr>
          <w:ilvl w:val="0"/>
          <w:numId w:val="1"/>
        </w:numPr>
        <w:jc w:val="both"/>
        <w:rPr>
          <w:lang w:val="en-GB"/>
        </w:rPr>
      </w:pPr>
      <w:r w:rsidRPr="00227B1B">
        <w:rPr>
          <w:lang w:val="en-GB"/>
        </w:rPr>
        <w:t>Market specificities,</w:t>
      </w:r>
    </w:p>
    <w:p w:rsidR="00E6480B" w:rsidRPr="00227B1B" w:rsidRDefault="00E6480B" w:rsidP="00E6480B">
      <w:pPr>
        <w:pStyle w:val="Listaszerbekezds"/>
        <w:numPr>
          <w:ilvl w:val="0"/>
          <w:numId w:val="1"/>
        </w:numPr>
        <w:jc w:val="both"/>
        <w:rPr>
          <w:lang w:val="en-GB"/>
        </w:rPr>
      </w:pPr>
      <w:r w:rsidRPr="00227B1B">
        <w:rPr>
          <w:lang w:val="en-GB"/>
        </w:rPr>
        <w:t>Finance and other issues.</w:t>
      </w:r>
    </w:p>
    <w:p w:rsidR="00F00730" w:rsidRPr="00227B1B" w:rsidRDefault="00F00730" w:rsidP="00CC77AD">
      <w:pPr>
        <w:jc w:val="both"/>
        <w:rPr>
          <w:lang w:val="en-GB"/>
        </w:rPr>
      </w:pPr>
      <w:r w:rsidRPr="00227B1B">
        <w:rPr>
          <w:lang w:val="en-GB"/>
        </w:rPr>
        <w:t xml:space="preserve">In the table below, we provide the average value of the responses given to the seriousness of the obstacle (without the “NA” answers), and the number of “help” responses out of the 11 respondents, who considered that the project and V4-GMU experiences could add to the solution of the given problem. </w:t>
      </w:r>
    </w:p>
    <w:p w:rsidR="00CC2477" w:rsidRPr="00227B1B" w:rsidRDefault="00CC2477" w:rsidP="00CC77AD">
      <w:pPr>
        <w:jc w:val="both"/>
        <w:rPr>
          <w:lang w:val="en-GB"/>
        </w:rPr>
      </w:pPr>
    </w:p>
    <w:p w:rsidR="00CC2477" w:rsidRPr="00227B1B" w:rsidRDefault="00CC2477" w:rsidP="00CC77AD">
      <w:pPr>
        <w:jc w:val="both"/>
        <w:rPr>
          <w:lang w:val="en-GB"/>
        </w:rPr>
      </w:pPr>
    </w:p>
    <w:p w:rsidR="00E30E10" w:rsidRPr="00227B1B" w:rsidRDefault="00E30E10" w:rsidP="00CC77AD">
      <w:pPr>
        <w:jc w:val="both"/>
        <w:rPr>
          <w:b/>
          <w:lang w:val="en-GB"/>
        </w:rPr>
      </w:pPr>
      <w:r w:rsidRPr="00227B1B">
        <w:rPr>
          <w:b/>
          <w:lang w:val="en-GB"/>
        </w:rPr>
        <w:lastRenderedPageBreak/>
        <w:t>Table – summary of results</w:t>
      </w:r>
    </w:p>
    <w:tbl>
      <w:tblPr>
        <w:tblW w:w="8996" w:type="dxa"/>
        <w:tblInd w:w="55" w:type="dxa"/>
        <w:tblCellMar>
          <w:left w:w="70" w:type="dxa"/>
          <w:right w:w="70" w:type="dxa"/>
        </w:tblCellMar>
        <w:tblLook w:val="04A0"/>
      </w:tblPr>
      <w:tblGrid>
        <w:gridCol w:w="440"/>
        <w:gridCol w:w="6238"/>
        <w:gridCol w:w="1200"/>
        <w:gridCol w:w="1140"/>
      </w:tblGrid>
      <w:tr w:rsidR="00503D9D" w:rsidRPr="00227B1B" w:rsidTr="006D3337">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503D9D" w:rsidRPr="00227B1B" w:rsidRDefault="006D3337" w:rsidP="006D3337">
            <w:pPr>
              <w:spacing w:after="0" w:line="240" w:lineRule="auto"/>
              <w:jc w:val="center"/>
              <w:rPr>
                <w:rFonts w:ascii="Calibri" w:eastAsia="Times New Roman" w:hAnsi="Calibri" w:cs="Times New Roman"/>
                <w:b/>
                <w:color w:val="FFFFFF" w:themeColor="background1"/>
                <w:lang w:val="en-GB" w:eastAsia="hu-HU"/>
              </w:rPr>
            </w:pPr>
            <w:r w:rsidRPr="00227B1B">
              <w:rPr>
                <w:rFonts w:ascii="Calibri" w:eastAsia="Times New Roman" w:hAnsi="Calibri" w:cs="Times New Roman"/>
                <w:b/>
                <w:color w:val="FFFFFF" w:themeColor="background1"/>
                <w:lang w:val="en-GB" w:eastAsia="hu-HU"/>
              </w:rPr>
              <w:t>Nr</w:t>
            </w:r>
          </w:p>
        </w:tc>
        <w:tc>
          <w:tcPr>
            <w:tcW w:w="6238" w:type="dxa"/>
            <w:tcBorders>
              <w:top w:val="single" w:sz="4" w:space="0" w:color="auto"/>
              <w:left w:val="nil"/>
              <w:bottom w:val="single" w:sz="4" w:space="0" w:color="auto"/>
              <w:right w:val="single" w:sz="4" w:space="0" w:color="auto"/>
            </w:tcBorders>
            <w:shd w:val="clear" w:color="auto" w:fill="76923C" w:themeFill="accent3" w:themeFillShade="BF"/>
            <w:noWrap/>
            <w:vAlign w:val="center"/>
            <w:hideMark/>
          </w:tcPr>
          <w:p w:rsidR="00503D9D" w:rsidRPr="00227B1B" w:rsidRDefault="006D3337" w:rsidP="006D3337">
            <w:pPr>
              <w:spacing w:after="0" w:line="240" w:lineRule="auto"/>
              <w:jc w:val="center"/>
              <w:rPr>
                <w:rFonts w:ascii="Calibri" w:eastAsia="Times New Roman" w:hAnsi="Calibri" w:cs="Times New Roman"/>
                <w:b/>
                <w:color w:val="FFFFFF" w:themeColor="background1"/>
                <w:lang w:val="en-GB" w:eastAsia="hu-HU"/>
              </w:rPr>
            </w:pPr>
            <w:r w:rsidRPr="00227B1B">
              <w:rPr>
                <w:rFonts w:ascii="Calibri" w:eastAsia="Times New Roman" w:hAnsi="Calibri" w:cs="Times New Roman"/>
                <w:b/>
                <w:color w:val="FFFFFF" w:themeColor="background1"/>
                <w:lang w:val="en-GB" w:eastAsia="hu-HU"/>
              </w:rPr>
              <w:t>Domain/Obstacle</w:t>
            </w:r>
          </w:p>
        </w:tc>
        <w:tc>
          <w:tcPr>
            <w:tcW w:w="1178" w:type="dxa"/>
            <w:tcBorders>
              <w:top w:val="single" w:sz="4" w:space="0" w:color="auto"/>
              <w:left w:val="nil"/>
              <w:bottom w:val="single" w:sz="4" w:space="0" w:color="auto"/>
              <w:right w:val="single" w:sz="4" w:space="0" w:color="auto"/>
            </w:tcBorders>
            <w:shd w:val="clear" w:color="auto" w:fill="76923C" w:themeFill="accent3" w:themeFillShade="BF"/>
            <w:noWrap/>
            <w:vAlign w:val="center"/>
            <w:hideMark/>
          </w:tcPr>
          <w:p w:rsidR="00503D9D" w:rsidRPr="00227B1B" w:rsidRDefault="00503D9D" w:rsidP="006D3337">
            <w:pPr>
              <w:spacing w:after="0" w:line="240" w:lineRule="auto"/>
              <w:jc w:val="center"/>
              <w:rPr>
                <w:rFonts w:ascii="Calibri" w:eastAsia="Times New Roman" w:hAnsi="Calibri" w:cs="Times New Roman"/>
                <w:b/>
                <w:color w:val="FFFFFF" w:themeColor="background1"/>
                <w:lang w:val="en-GB" w:eastAsia="hu-HU"/>
              </w:rPr>
            </w:pPr>
            <w:r w:rsidRPr="00227B1B">
              <w:rPr>
                <w:rFonts w:ascii="Calibri" w:eastAsia="Times New Roman" w:hAnsi="Calibri" w:cs="Times New Roman"/>
                <w:b/>
                <w:color w:val="FFFFFF" w:themeColor="background1"/>
                <w:lang w:val="en-GB" w:eastAsia="hu-HU"/>
              </w:rPr>
              <w:t>average of responses to seriousness of problem</w:t>
            </w:r>
          </w:p>
        </w:tc>
        <w:tc>
          <w:tcPr>
            <w:tcW w:w="1140" w:type="dxa"/>
            <w:tcBorders>
              <w:top w:val="single" w:sz="4" w:space="0" w:color="auto"/>
              <w:left w:val="nil"/>
              <w:bottom w:val="single" w:sz="4" w:space="0" w:color="auto"/>
              <w:right w:val="single" w:sz="4" w:space="0" w:color="auto"/>
            </w:tcBorders>
            <w:shd w:val="clear" w:color="auto" w:fill="76923C" w:themeFill="accent3" w:themeFillShade="BF"/>
            <w:noWrap/>
            <w:vAlign w:val="center"/>
            <w:hideMark/>
          </w:tcPr>
          <w:p w:rsidR="00503D9D" w:rsidRPr="00227B1B" w:rsidRDefault="00503D9D" w:rsidP="006D3337">
            <w:pPr>
              <w:spacing w:after="0" w:line="240" w:lineRule="auto"/>
              <w:jc w:val="center"/>
              <w:rPr>
                <w:rFonts w:ascii="Calibri" w:eastAsia="Times New Roman" w:hAnsi="Calibri" w:cs="Times New Roman"/>
                <w:b/>
                <w:color w:val="FFFFFF" w:themeColor="background1"/>
                <w:lang w:val="en-GB" w:eastAsia="hu-HU"/>
              </w:rPr>
            </w:pPr>
            <w:r w:rsidRPr="00227B1B">
              <w:rPr>
                <w:rFonts w:ascii="Calibri" w:eastAsia="Times New Roman" w:hAnsi="Calibri" w:cs="Times New Roman"/>
                <w:b/>
                <w:color w:val="FFFFFF" w:themeColor="background1"/>
                <w:lang w:val="en-GB" w:eastAsia="hu-HU"/>
              </w:rPr>
              <w:t>nr of "help" responses</w:t>
            </w:r>
          </w:p>
        </w:tc>
      </w:tr>
      <w:tr w:rsidR="00503D9D" w:rsidRPr="00227B1B" w:rsidTr="006D3337">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1</w:t>
            </w:r>
          </w:p>
        </w:tc>
        <w:tc>
          <w:tcPr>
            <w:tcW w:w="6238"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Labour &amp; Skills</w:t>
            </w:r>
          </w:p>
        </w:tc>
        <w:tc>
          <w:tcPr>
            <w:tcW w:w="1178"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03D9D" w:rsidRPr="00227B1B" w:rsidRDefault="00503D9D" w:rsidP="00F00730">
            <w:pPr>
              <w:spacing w:after="0" w:line="240" w:lineRule="auto"/>
              <w:jc w:val="center"/>
              <w:rPr>
                <w:rFonts w:ascii="Calibri" w:eastAsia="Times New Roman" w:hAnsi="Calibri" w:cs="Times New Roman"/>
                <w:color w:val="000000"/>
                <w:lang w:val="en-GB" w:eastAsia="hu-HU"/>
              </w:rPr>
            </w:pPr>
          </w:p>
        </w:tc>
        <w:tc>
          <w:tcPr>
            <w:tcW w:w="114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03D9D" w:rsidRPr="00227B1B" w:rsidRDefault="00503D9D" w:rsidP="00F00730">
            <w:pPr>
              <w:spacing w:after="0" w:line="240" w:lineRule="auto"/>
              <w:jc w:val="center"/>
              <w:rPr>
                <w:rFonts w:ascii="Calibri" w:eastAsia="Times New Roman" w:hAnsi="Calibri" w:cs="Times New Roman"/>
                <w:color w:val="000000"/>
                <w:lang w:val="en-GB" w:eastAsia="hu-HU"/>
              </w:rPr>
            </w:pP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A</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Low market skills of entrepreneurs / Inadequate business education</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3,18</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B</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Lack of business experience</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3,09</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C</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Lack of experience in foreign trade, in EU in particular</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3,60</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6</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D</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Lack of knowledge of EU regulations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3,55</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6</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E</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Lack of language skills and contacts abroad</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3,00</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F</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Low availability of high skill workers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2,91</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G</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Low availability of low-skill workers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2,36</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1</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Demographics / low number of young labor market entrants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2,91</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I</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emigration</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3,36</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1</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J</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Expensive labor / Mismatch between labor cost and productivity</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2,27</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0</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K</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Employer-employee conflicts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0</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Low labor market flexibility</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2,73</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1</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M</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syndicalization / Excessive power of labor unions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1,73</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1</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N</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Low labor ethics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2,70</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0</w:t>
            </w:r>
          </w:p>
        </w:tc>
      </w:tr>
      <w:tr w:rsidR="00503D9D" w:rsidRPr="00227B1B" w:rsidTr="006D3337">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O</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Low business ethics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3,18</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1</w:t>
            </w:r>
          </w:p>
        </w:tc>
      </w:tr>
      <w:tr w:rsidR="00503D9D" w:rsidRPr="00227B1B" w:rsidTr="006D3337">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w:t>
            </w:r>
          </w:p>
        </w:tc>
        <w:tc>
          <w:tcPr>
            <w:tcW w:w="6238"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Red Tape /Bureaucracy</w:t>
            </w:r>
          </w:p>
        </w:tc>
        <w:tc>
          <w:tcPr>
            <w:tcW w:w="1178"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c>
          <w:tcPr>
            <w:tcW w:w="114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A</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Difficulties in registering company</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1,64</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1</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B</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cost of market entry</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2,73</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C</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Difficulties to expand business activities / bureaucratic obstacles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2,82</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D</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Non-transparent / inconsistent regulations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2,91</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E</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Poor overall regulatory framework / Excessive burden of regulations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2,82</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F</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Foreign trade barriers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3,09</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5</w:t>
            </w:r>
          </w:p>
        </w:tc>
      </w:tr>
      <w:tr w:rsidR="00503D9D" w:rsidRPr="00227B1B" w:rsidTr="006D3337">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G</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Institutional differences with EU</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3,30</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6</w:t>
            </w:r>
          </w:p>
        </w:tc>
      </w:tr>
      <w:tr w:rsidR="00503D9D" w:rsidRPr="00227B1B" w:rsidTr="006D3337">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w:t>
            </w:r>
          </w:p>
        </w:tc>
        <w:tc>
          <w:tcPr>
            <w:tcW w:w="6238"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Tax burden</w:t>
            </w:r>
          </w:p>
        </w:tc>
        <w:tc>
          <w:tcPr>
            <w:tcW w:w="1178"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c>
          <w:tcPr>
            <w:tcW w:w="114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A</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Unstable and non-transparent tax rules and/or their applications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3,27</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5</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B</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cost of compliance</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3,09</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C</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effective SME presumptive tax rates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3,00</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D</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effective personal income tax rates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2,91</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E</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effective corporate income tax rates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2,73</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F</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effective value added tax / trade tax rates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3,00</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G</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custom charges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3,09</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w:t>
            </w:r>
          </w:p>
        </w:tc>
      </w:tr>
      <w:tr w:rsidR="00503D9D" w:rsidRPr="00227B1B" w:rsidTr="006D3337">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Other high taxes and fiscal fees/charges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3,00</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w:t>
            </w:r>
          </w:p>
        </w:tc>
      </w:tr>
      <w:tr w:rsidR="00503D9D" w:rsidRPr="00227B1B" w:rsidTr="006D3337">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c>
          <w:tcPr>
            <w:tcW w:w="6238"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Law and order</w:t>
            </w:r>
          </w:p>
        </w:tc>
        <w:tc>
          <w:tcPr>
            <w:tcW w:w="1178"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c>
          <w:tcPr>
            <w:tcW w:w="114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A</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Weak property rights / weak contract enforcement</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2,73</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B</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Crime and violence (low safety)</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2,55</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1</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C</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Corruption / Clientelism / Favoritism</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3,73</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r w:rsidR="00503D9D" w:rsidRPr="00227B1B" w:rsidTr="006D3337">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D</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Weak judiciary</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3,45</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r w:rsidR="00503D9D" w:rsidRPr="00227B1B" w:rsidTr="006D3337">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lastRenderedPageBreak/>
              <w:t>5</w:t>
            </w:r>
          </w:p>
        </w:tc>
        <w:tc>
          <w:tcPr>
            <w:tcW w:w="6238"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Market</w:t>
            </w:r>
          </w:p>
        </w:tc>
        <w:tc>
          <w:tcPr>
            <w:tcW w:w="1178"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c>
          <w:tcPr>
            <w:tcW w:w="114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A</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Small market size / Weak demand</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3,18</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B</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Barriers for exports to foreign markets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3,64</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C</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Unfair competition / Uneven playing field / Informal economy</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3,64</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D</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Monopolization / Excessive market power of some participants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3,82</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E</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Weak market position of SMEs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3,36</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5</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F</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Weak professional organizations of SMEs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3,27</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G</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Weak analytical and policy advocacy of SME organizations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3,10</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Discriminatory practices of authorities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3,11</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I</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Unfair privileges for foreign investors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2,60</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J</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Macroeconomic instability (demand, inflation, exchange rate)</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3,18</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1</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K</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Political instability</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3,50</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Insufficient market information/governmental support for SMEs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3,27</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M</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Weak support/lack of support by international organizations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2,80</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r w:rsidR="00503D9D" w:rsidRPr="00227B1B" w:rsidTr="006D3337">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N</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Low level of activities of venture capital</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3,38</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w:t>
            </w:r>
          </w:p>
        </w:tc>
      </w:tr>
      <w:tr w:rsidR="00503D9D" w:rsidRPr="00227B1B" w:rsidTr="006D3337">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6</w:t>
            </w:r>
          </w:p>
        </w:tc>
        <w:tc>
          <w:tcPr>
            <w:tcW w:w="6238"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Finance and other</w:t>
            </w:r>
          </w:p>
        </w:tc>
        <w:tc>
          <w:tcPr>
            <w:tcW w:w="1178"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c>
          <w:tcPr>
            <w:tcW w:w="114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A</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Difficulties in accessing financial services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3,20</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B</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cost of credit</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3,40</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C</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Inappropriate infrastructure</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3,18</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2</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D</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Weak professional organizations of SMEs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3,09</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E</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Difficult access to internet / Lack or low quality of business websites</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1,82</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0</w:t>
            </w:r>
          </w:p>
        </w:tc>
      </w:tr>
      <w:tr w:rsidR="00503D9D" w:rsidRPr="00227B1B" w:rsidTr="00F0073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F</w:t>
            </w:r>
          </w:p>
        </w:tc>
        <w:tc>
          <w:tcPr>
            <w:tcW w:w="623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Lack of open communication channels with EU</w:t>
            </w:r>
          </w:p>
        </w:tc>
        <w:tc>
          <w:tcPr>
            <w:tcW w:w="1178"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3,40</w:t>
            </w:r>
          </w:p>
        </w:tc>
        <w:tc>
          <w:tcPr>
            <w:tcW w:w="1140" w:type="dxa"/>
            <w:tcBorders>
              <w:top w:val="nil"/>
              <w:left w:val="nil"/>
              <w:bottom w:val="single" w:sz="4" w:space="0" w:color="auto"/>
              <w:right w:val="single" w:sz="4" w:space="0" w:color="auto"/>
            </w:tcBorders>
            <w:shd w:val="clear" w:color="auto" w:fill="auto"/>
            <w:noWrap/>
            <w:vAlign w:val="bottom"/>
            <w:hideMark/>
          </w:tcPr>
          <w:p w:rsidR="00503D9D" w:rsidRPr="00227B1B" w:rsidRDefault="00503D9D" w:rsidP="00F00730">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5</w:t>
            </w:r>
          </w:p>
        </w:tc>
      </w:tr>
    </w:tbl>
    <w:p w:rsidR="00F00730" w:rsidRPr="00227B1B" w:rsidRDefault="00F00730" w:rsidP="00CC77AD">
      <w:pPr>
        <w:jc w:val="both"/>
        <w:rPr>
          <w:lang w:val="en-GB"/>
        </w:rPr>
      </w:pPr>
    </w:p>
    <w:p w:rsidR="00C249B8" w:rsidRPr="00227B1B" w:rsidRDefault="00B3315C" w:rsidP="00CC77AD">
      <w:pPr>
        <w:jc w:val="both"/>
        <w:rPr>
          <w:lang w:val="en-GB"/>
        </w:rPr>
      </w:pPr>
      <w:r w:rsidRPr="00227B1B">
        <w:rPr>
          <w:lang w:val="en-GB"/>
        </w:rPr>
        <w:t>In the field of Labour and skills, the followings were identified as impeding factors to SMEs</w:t>
      </w:r>
      <w:r w:rsidR="00215F4D" w:rsidRPr="00227B1B">
        <w:rPr>
          <w:lang w:val="en-GB"/>
        </w:rPr>
        <w:t xml:space="preserve"> (values above 3)</w:t>
      </w:r>
      <w:r w:rsidRPr="00227B1B">
        <w:rPr>
          <w:lang w:val="en-GB"/>
        </w:rPr>
        <w:t xml:space="preserve">: </w:t>
      </w:r>
    </w:p>
    <w:tbl>
      <w:tblPr>
        <w:tblW w:w="8000" w:type="dxa"/>
        <w:tblInd w:w="52" w:type="dxa"/>
        <w:tblCellMar>
          <w:left w:w="70" w:type="dxa"/>
          <w:right w:w="70" w:type="dxa"/>
        </w:tblCellMar>
        <w:tblLook w:val="04A0"/>
      </w:tblPr>
      <w:tblGrid>
        <w:gridCol w:w="6860"/>
        <w:gridCol w:w="1140"/>
      </w:tblGrid>
      <w:tr w:rsidR="00215F4D" w:rsidRPr="00227B1B" w:rsidTr="00215F4D">
        <w:trPr>
          <w:trHeight w:val="300"/>
        </w:trPr>
        <w:tc>
          <w:tcPr>
            <w:tcW w:w="6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F4D" w:rsidRPr="00227B1B" w:rsidRDefault="00215F4D" w:rsidP="00215F4D">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Lack of experience in foreign trade, in EU in particular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215F4D" w:rsidRPr="00227B1B" w:rsidRDefault="00215F4D" w:rsidP="00215F4D">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3,60</w:t>
            </w:r>
          </w:p>
        </w:tc>
      </w:tr>
      <w:tr w:rsidR="00215F4D" w:rsidRPr="00227B1B" w:rsidTr="00215F4D">
        <w:trPr>
          <w:trHeight w:val="30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rsidR="00215F4D" w:rsidRPr="00227B1B" w:rsidRDefault="00215F4D" w:rsidP="00215F4D">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Lack of knowledge of EU regulations</w:t>
            </w:r>
          </w:p>
        </w:tc>
        <w:tc>
          <w:tcPr>
            <w:tcW w:w="1140" w:type="dxa"/>
            <w:tcBorders>
              <w:top w:val="nil"/>
              <w:left w:val="nil"/>
              <w:bottom w:val="single" w:sz="4" w:space="0" w:color="auto"/>
              <w:right w:val="single" w:sz="4" w:space="0" w:color="auto"/>
            </w:tcBorders>
            <w:shd w:val="clear" w:color="auto" w:fill="auto"/>
            <w:noWrap/>
            <w:vAlign w:val="bottom"/>
            <w:hideMark/>
          </w:tcPr>
          <w:p w:rsidR="00215F4D" w:rsidRPr="00227B1B" w:rsidRDefault="00215F4D" w:rsidP="00215F4D">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3,55</w:t>
            </w:r>
          </w:p>
        </w:tc>
      </w:tr>
      <w:tr w:rsidR="00215F4D" w:rsidRPr="00227B1B" w:rsidTr="00215F4D">
        <w:trPr>
          <w:trHeight w:val="30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rsidR="00215F4D" w:rsidRPr="00227B1B" w:rsidRDefault="00215F4D" w:rsidP="00215F4D">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emigration</w:t>
            </w:r>
          </w:p>
        </w:tc>
        <w:tc>
          <w:tcPr>
            <w:tcW w:w="1140" w:type="dxa"/>
            <w:tcBorders>
              <w:top w:val="nil"/>
              <w:left w:val="nil"/>
              <w:bottom w:val="single" w:sz="4" w:space="0" w:color="auto"/>
              <w:right w:val="single" w:sz="4" w:space="0" w:color="auto"/>
            </w:tcBorders>
            <w:shd w:val="clear" w:color="auto" w:fill="auto"/>
            <w:noWrap/>
            <w:vAlign w:val="bottom"/>
            <w:hideMark/>
          </w:tcPr>
          <w:p w:rsidR="00215F4D" w:rsidRPr="00227B1B" w:rsidRDefault="00215F4D" w:rsidP="00215F4D">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3,36</w:t>
            </w:r>
          </w:p>
        </w:tc>
      </w:tr>
      <w:tr w:rsidR="00215F4D" w:rsidRPr="00227B1B" w:rsidTr="00215F4D">
        <w:trPr>
          <w:trHeight w:val="30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rsidR="00215F4D" w:rsidRPr="00227B1B" w:rsidRDefault="00215F4D" w:rsidP="00215F4D">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Low business ethics</w:t>
            </w:r>
          </w:p>
        </w:tc>
        <w:tc>
          <w:tcPr>
            <w:tcW w:w="1140" w:type="dxa"/>
            <w:tcBorders>
              <w:top w:val="nil"/>
              <w:left w:val="nil"/>
              <w:bottom w:val="single" w:sz="4" w:space="0" w:color="auto"/>
              <w:right w:val="single" w:sz="4" w:space="0" w:color="auto"/>
            </w:tcBorders>
            <w:shd w:val="clear" w:color="auto" w:fill="auto"/>
            <w:noWrap/>
            <w:vAlign w:val="bottom"/>
            <w:hideMark/>
          </w:tcPr>
          <w:p w:rsidR="00215F4D" w:rsidRPr="00227B1B" w:rsidRDefault="00215F4D" w:rsidP="00215F4D">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3,18</w:t>
            </w:r>
          </w:p>
        </w:tc>
      </w:tr>
      <w:tr w:rsidR="00215F4D" w:rsidRPr="00227B1B" w:rsidTr="00215F4D">
        <w:trPr>
          <w:trHeight w:val="30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rsidR="00215F4D" w:rsidRPr="00227B1B" w:rsidRDefault="00215F4D" w:rsidP="00215F4D">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Low market skills of entrepreneurs / Inadequate business education</w:t>
            </w:r>
          </w:p>
        </w:tc>
        <w:tc>
          <w:tcPr>
            <w:tcW w:w="1140" w:type="dxa"/>
            <w:tcBorders>
              <w:top w:val="nil"/>
              <w:left w:val="nil"/>
              <w:bottom w:val="single" w:sz="4" w:space="0" w:color="auto"/>
              <w:right w:val="single" w:sz="4" w:space="0" w:color="auto"/>
            </w:tcBorders>
            <w:shd w:val="clear" w:color="auto" w:fill="auto"/>
            <w:noWrap/>
            <w:vAlign w:val="bottom"/>
            <w:hideMark/>
          </w:tcPr>
          <w:p w:rsidR="00215F4D" w:rsidRPr="00227B1B" w:rsidRDefault="00215F4D" w:rsidP="00215F4D">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3,18</w:t>
            </w:r>
          </w:p>
        </w:tc>
      </w:tr>
      <w:tr w:rsidR="00215F4D" w:rsidRPr="00227B1B" w:rsidTr="00215F4D">
        <w:trPr>
          <w:trHeight w:val="30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rsidR="00215F4D" w:rsidRPr="00227B1B" w:rsidRDefault="00215F4D" w:rsidP="00215F4D">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Lack of business experience</w:t>
            </w:r>
          </w:p>
        </w:tc>
        <w:tc>
          <w:tcPr>
            <w:tcW w:w="1140" w:type="dxa"/>
            <w:tcBorders>
              <w:top w:val="nil"/>
              <w:left w:val="nil"/>
              <w:bottom w:val="single" w:sz="4" w:space="0" w:color="auto"/>
              <w:right w:val="single" w:sz="4" w:space="0" w:color="auto"/>
            </w:tcBorders>
            <w:shd w:val="clear" w:color="auto" w:fill="auto"/>
            <w:noWrap/>
            <w:vAlign w:val="bottom"/>
            <w:hideMark/>
          </w:tcPr>
          <w:p w:rsidR="00215F4D" w:rsidRPr="00227B1B" w:rsidRDefault="00215F4D" w:rsidP="00215F4D">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3,09</w:t>
            </w:r>
          </w:p>
        </w:tc>
      </w:tr>
      <w:tr w:rsidR="00215F4D" w:rsidRPr="00227B1B" w:rsidTr="00215F4D">
        <w:trPr>
          <w:trHeight w:val="30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rsidR="00215F4D" w:rsidRPr="00227B1B" w:rsidRDefault="00215F4D" w:rsidP="00215F4D">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Lack of language skills and contacts abroad</w:t>
            </w:r>
          </w:p>
        </w:tc>
        <w:tc>
          <w:tcPr>
            <w:tcW w:w="1140" w:type="dxa"/>
            <w:tcBorders>
              <w:top w:val="nil"/>
              <w:left w:val="nil"/>
              <w:bottom w:val="single" w:sz="4" w:space="0" w:color="auto"/>
              <w:right w:val="single" w:sz="4" w:space="0" w:color="auto"/>
            </w:tcBorders>
            <w:shd w:val="clear" w:color="auto" w:fill="auto"/>
            <w:noWrap/>
            <w:vAlign w:val="bottom"/>
            <w:hideMark/>
          </w:tcPr>
          <w:p w:rsidR="00215F4D" w:rsidRPr="00227B1B" w:rsidRDefault="00215F4D" w:rsidP="00215F4D">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3,00</w:t>
            </w:r>
          </w:p>
        </w:tc>
      </w:tr>
    </w:tbl>
    <w:p w:rsidR="00215F4D" w:rsidRPr="00227B1B" w:rsidRDefault="00215F4D" w:rsidP="00CC77AD">
      <w:pPr>
        <w:jc w:val="both"/>
        <w:rPr>
          <w:lang w:val="en-GB"/>
        </w:rPr>
      </w:pPr>
    </w:p>
    <w:p w:rsidR="002B18CF" w:rsidRPr="00227B1B" w:rsidRDefault="002B18CF" w:rsidP="00CC77AD">
      <w:pPr>
        <w:jc w:val="both"/>
        <w:rPr>
          <w:lang w:val="en-GB"/>
        </w:rPr>
      </w:pPr>
      <w:r w:rsidRPr="00227B1B">
        <w:rPr>
          <w:lang w:val="en-GB"/>
        </w:rPr>
        <w:t xml:space="preserve">At least 4 people considered the followings as areas where V4-GMU expertise can help: </w:t>
      </w:r>
    </w:p>
    <w:tbl>
      <w:tblPr>
        <w:tblW w:w="8000" w:type="dxa"/>
        <w:tblInd w:w="52" w:type="dxa"/>
        <w:tblCellMar>
          <w:left w:w="70" w:type="dxa"/>
          <w:right w:w="70" w:type="dxa"/>
        </w:tblCellMar>
        <w:tblLook w:val="04A0"/>
      </w:tblPr>
      <w:tblGrid>
        <w:gridCol w:w="6860"/>
        <w:gridCol w:w="1140"/>
      </w:tblGrid>
      <w:tr w:rsidR="002B18CF" w:rsidRPr="00227B1B" w:rsidTr="002B18CF">
        <w:trPr>
          <w:trHeight w:val="30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rsidR="002B18CF" w:rsidRPr="00227B1B" w:rsidRDefault="002B18CF" w:rsidP="002B18CF">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Lack of knowledge of EU regulations</w:t>
            </w:r>
          </w:p>
        </w:tc>
        <w:tc>
          <w:tcPr>
            <w:tcW w:w="1140" w:type="dxa"/>
            <w:tcBorders>
              <w:top w:val="nil"/>
              <w:left w:val="nil"/>
              <w:bottom w:val="single" w:sz="4" w:space="0" w:color="auto"/>
              <w:right w:val="single" w:sz="4" w:space="0" w:color="auto"/>
            </w:tcBorders>
            <w:shd w:val="clear" w:color="auto" w:fill="auto"/>
            <w:noWrap/>
            <w:vAlign w:val="bottom"/>
            <w:hideMark/>
          </w:tcPr>
          <w:p w:rsidR="002B18CF" w:rsidRPr="00227B1B" w:rsidRDefault="002B18CF" w:rsidP="002B18CF">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6</w:t>
            </w:r>
          </w:p>
        </w:tc>
      </w:tr>
      <w:tr w:rsidR="002B18CF" w:rsidRPr="00227B1B" w:rsidTr="002B18CF">
        <w:trPr>
          <w:trHeight w:val="30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rsidR="002B18CF" w:rsidRPr="00227B1B" w:rsidRDefault="002B18CF" w:rsidP="002B18CF">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Lack of experience in foreign trade, in EU in particular</w:t>
            </w:r>
          </w:p>
        </w:tc>
        <w:tc>
          <w:tcPr>
            <w:tcW w:w="1140" w:type="dxa"/>
            <w:tcBorders>
              <w:top w:val="nil"/>
              <w:left w:val="nil"/>
              <w:bottom w:val="single" w:sz="4" w:space="0" w:color="auto"/>
              <w:right w:val="single" w:sz="4" w:space="0" w:color="auto"/>
            </w:tcBorders>
            <w:shd w:val="clear" w:color="auto" w:fill="auto"/>
            <w:noWrap/>
            <w:vAlign w:val="bottom"/>
            <w:hideMark/>
          </w:tcPr>
          <w:p w:rsidR="002B18CF" w:rsidRPr="00227B1B" w:rsidRDefault="002B18CF" w:rsidP="002B18CF">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6</w:t>
            </w:r>
          </w:p>
        </w:tc>
      </w:tr>
      <w:tr w:rsidR="00215F4D" w:rsidRPr="00227B1B" w:rsidTr="00215F4D">
        <w:trPr>
          <w:trHeight w:val="30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rsidR="00215F4D" w:rsidRPr="00227B1B" w:rsidRDefault="00215F4D"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Low market skills of entrepreneurs / Inadequate business education</w:t>
            </w:r>
          </w:p>
        </w:tc>
        <w:tc>
          <w:tcPr>
            <w:tcW w:w="1140" w:type="dxa"/>
            <w:tcBorders>
              <w:top w:val="nil"/>
              <w:left w:val="nil"/>
              <w:bottom w:val="single" w:sz="4" w:space="0" w:color="auto"/>
              <w:right w:val="single" w:sz="4" w:space="0" w:color="auto"/>
            </w:tcBorders>
            <w:shd w:val="clear" w:color="auto" w:fill="auto"/>
            <w:noWrap/>
            <w:vAlign w:val="bottom"/>
            <w:hideMark/>
          </w:tcPr>
          <w:p w:rsidR="00215F4D" w:rsidRPr="00227B1B" w:rsidRDefault="00215F4D" w:rsidP="00B757D4">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bl>
    <w:p w:rsidR="002B18CF" w:rsidRPr="00227B1B" w:rsidRDefault="002B18CF" w:rsidP="00CC77AD">
      <w:pPr>
        <w:jc w:val="both"/>
        <w:rPr>
          <w:lang w:val="en-GB"/>
        </w:rPr>
      </w:pPr>
    </w:p>
    <w:p w:rsidR="007433E4" w:rsidRPr="00227B1B" w:rsidRDefault="00844D35" w:rsidP="00CC77AD">
      <w:pPr>
        <w:jc w:val="both"/>
        <w:rPr>
          <w:lang w:val="en-GB"/>
        </w:rPr>
      </w:pPr>
      <w:r w:rsidRPr="00227B1B">
        <w:rPr>
          <w:lang w:val="en-GB"/>
        </w:rPr>
        <w:t xml:space="preserve">The replies evidently show the importance of EU27/V4 cooperation in the fields related to EU regulation and experiences with EU trade. </w:t>
      </w:r>
      <w:r w:rsidR="00356EA2" w:rsidRPr="00227B1B">
        <w:rPr>
          <w:lang w:val="en-GB"/>
        </w:rPr>
        <w:t xml:space="preserve">Furthermore, in </w:t>
      </w:r>
      <w:r w:rsidR="005F75BB" w:rsidRPr="00227B1B">
        <w:rPr>
          <w:lang w:val="en-GB"/>
        </w:rPr>
        <w:t xml:space="preserve">business education help also may be needed. Regarding low business ethics and high emigration of skilled workforce, the problems were </w:t>
      </w:r>
      <w:r w:rsidR="005F75BB" w:rsidRPr="00227B1B">
        <w:rPr>
          <w:lang w:val="en-GB"/>
        </w:rPr>
        <w:lastRenderedPageBreak/>
        <w:t xml:space="preserve">identified as important, but the issue should rather be solved domestically/ by the economic actors themselves. </w:t>
      </w:r>
    </w:p>
    <w:p w:rsidR="005F75BB" w:rsidRPr="00227B1B" w:rsidRDefault="00DA56F7" w:rsidP="00CC77AD">
      <w:pPr>
        <w:jc w:val="both"/>
        <w:rPr>
          <w:lang w:val="en-GB"/>
        </w:rPr>
      </w:pPr>
      <w:r w:rsidRPr="00227B1B">
        <w:rPr>
          <w:lang w:val="en-GB"/>
        </w:rPr>
        <w:t xml:space="preserve">In the domain of red tape /bureaucracy, </w:t>
      </w:r>
      <w:r w:rsidR="00600A7F" w:rsidRPr="00227B1B">
        <w:rPr>
          <w:lang w:val="en-GB"/>
        </w:rPr>
        <w:t>the issues that are at least significant impediments to SME development are the followings:</w:t>
      </w:r>
    </w:p>
    <w:tbl>
      <w:tblPr>
        <w:tblW w:w="5820" w:type="dxa"/>
        <w:tblInd w:w="52" w:type="dxa"/>
        <w:tblCellMar>
          <w:left w:w="70" w:type="dxa"/>
          <w:right w:w="70" w:type="dxa"/>
        </w:tblCellMar>
        <w:tblLook w:val="04A0"/>
      </w:tblPr>
      <w:tblGrid>
        <w:gridCol w:w="4860"/>
        <w:gridCol w:w="960"/>
      </w:tblGrid>
      <w:tr w:rsidR="00C126ED" w:rsidRPr="00227B1B" w:rsidTr="00C126ED">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6ED" w:rsidRPr="00227B1B" w:rsidRDefault="00C126ED" w:rsidP="00C126ED">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Institutional differences with EU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126ED" w:rsidRPr="00227B1B" w:rsidRDefault="00C126ED" w:rsidP="00C126ED">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3,30</w:t>
            </w:r>
          </w:p>
        </w:tc>
      </w:tr>
      <w:tr w:rsidR="00C126ED" w:rsidRPr="00227B1B" w:rsidTr="00C126E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126ED" w:rsidRPr="00227B1B" w:rsidRDefault="00C126ED" w:rsidP="00C126ED">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Foreign trade barriers</w:t>
            </w:r>
          </w:p>
        </w:tc>
        <w:tc>
          <w:tcPr>
            <w:tcW w:w="960" w:type="dxa"/>
            <w:tcBorders>
              <w:top w:val="nil"/>
              <w:left w:val="nil"/>
              <w:bottom w:val="single" w:sz="4" w:space="0" w:color="auto"/>
              <w:right w:val="single" w:sz="4" w:space="0" w:color="auto"/>
            </w:tcBorders>
            <w:shd w:val="clear" w:color="auto" w:fill="auto"/>
            <w:noWrap/>
            <w:vAlign w:val="bottom"/>
            <w:hideMark/>
          </w:tcPr>
          <w:p w:rsidR="00C126ED" w:rsidRPr="00227B1B" w:rsidRDefault="00C126ED" w:rsidP="00C126ED">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3,09</w:t>
            </w:r>
          </w:p>
        </w:tc>
      </w:tr>
    </w:tbl>
    <w:p w:rsidR="00600A7F" w:rsidRPr="00227B1B" w:rsidRDefault="00600A7F" w:rsidP="00CC77AD">
      <w:pPr>
        <w:jc w:val="both"/>
        <w:rPr>
          <w:lang w:val="en-GB"/>
        </w:rPr>
      </w:pPr>
    </w:p>
    <w:p w:rsidR="00C126ED" w:rsidRPr="00227B1B" w:rsidRDefault="00C126ED" w:rsidP="00CC77AD">
      <w:pPr>
        <w:jc w:val="both"/>
        <w:rPr>
          <w:lang w:val="en-GB"/>
        </w:rPr>
      </w:pPr>
      <w:r w:rsidRPr="00227B1B">
        <w:rPr>
          <w:lang w:val="en-GB"/>
        </w:rPr>
        <w:t xml:space="preserve">At least 4 people considered V4-GMU help as useful in these topics: </w:t>
      </w:r>
    </w:p>
    <w:tbl>
      <w:tblPr>
        <w:tblW w:w="7092" w:type="dxa"/>
        <w:tblInd w:w="52" w:type="dxa"/>
        <w:tblCellMar>
          <w:left w:w="70" w:type="dxa"/>
          <w:right w:w="70" w:type="dxa"/>
        </w:tblCellMar>
        <w:tblLook w:val="04A0"/>
      </w:tblPr>
      <w:tblGrid>
        <w:gridCol w:w="6132"/>
        <w:gridCol w:w="960"/>
      </w:tblGrid>
      <w:tr w:rsidR="00C126ED" w:rsidRPr="00227B1B" w:rsidTr="00C126ED">
        <w:trPr>
          <w:trHeight w:val="300"/>
        </w:trPr>
        <w:tc>
          <w:tcPr>
            <w:tcW w:w="6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6ED" w:rsidRPr="00227B1B" w:rsidRDefault="00C126ED" w:rsidP="00C126ED">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Institutional differences with EU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126ED" w:rsidRPr="00227B1B" w:rsidRDefault="00C126ED" w:rsidP="00C126ED">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6</w:t>
            </w:r>
          </w:p>
        </w:tc>
      </w:tr>
      <w:tr w:rsidR="00C126ED" w:rsidRPr="00227B1B" w:rsidTr="00C126ED">
        <w:trPr>
          <w:trHeight w:val="300"/>
        </w:trPr>
        <w:tc>
          <w:tcPr>
            <w:tcW w:w="6132" w:type="dxa"/>
            <w:tcBorders>
              <w:top w:val="nil"/>
              <w:left w:val="single" w:sz="4" w:space="0" w:color="auto"/>
              <w:bottom w:val="single" w:sz="4" w:space="0" w:color="auto"/>
              <w:right w:val="single" w:sz="4" w:space="0" w:color="auto"/>
            </w:tcBorders>
            <w:shd w:val="clear" w:color="auto" w:fill="auto"/>
            <w:noWrap/>
            <w:vAlign w:val="bottom"/>
            <w:hideMark/>
          </w:tcPr>
          <w:p w:rsidR="00C126ED" w:rsidRPr="00227B1B" w:rsidRDefault="00C126ED" w:rsidP="00C126ED">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Foreign trade barriers</w:t>
            </w:r>
          </w:p>
        </w:tc>
        <w:tc>
          <w:tcPr>
            <w:tcW w:w="960" w:type="dxa"/>
            <w:tcBorders>
              <w:top w:val="nil"/>
              <w:left w:val="nil"/>
              <w:bottom w:val="single" w:sz="4" w:space="0" w:color="auto"/>
              <w:right w:val="single" w:sz="4" w:space="0" w:color="auto"/>
            </w:tcBorders>
            <w:shd w:val="clear" w:color="auto" w:fill="auto"/>
            <w:noWrap/>
            <w:vAlign w:val="bottom"/>
            <w:hideMark/>
          </w:tcPr>
          <w:p w:rsidR="00C126ED" w:rsidRPr="00227B1B" w:rsidRDefault="00C126ED" w:rsidP="00C126ED">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5</w:t>
            </w:r>
          </w:p>
        </w:tc>
      </w:tr>
      <w:tr w:rsidR="00C126ED" w:rsidRPr="00227B1B" w:rsidTr="00C126ED">
        <w:trPr>
          <w:trHeight w:val="300"/>
        </w:trPr>
        <w:tc>
          <w:tcPr>
            <w:tcW w:w="6132" w:type="dxa"/>
            <w:tcBorders>
              <w:top w:val="nil"/>
              <w:left w:val="single" w:sz="4" w:space="0" w:color="auto"/>
              <w:bottom w:val="single" w:sz="4" w:space="0" w:color="auto"/>
              <w:right w:val="single" w:sz="4" w:space="0" w:color="auto"/>
            </w:tcBorders>
            <w:shd w:val="clear" w:color="auto" w:fill="auto"/>
            <w:noWrap/>
            <w:vAlign w:val="bottom"/>
            <w:hideMark/>
          </w:tcPr>
          <w:p w:rsidR="00C126ED" w:rsidRPr="00227B1B" w:rsidRDefault="00C126ED" w:rsidP="00C126ED">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Non-transparent / inconsistent regulations</w:t>
            </w:r>
          </w:p>
        </w:tc>
        <w:tc>
          <w:tcPr>
            <w:tcW w:w="960" w:type="dxa"/>
            <w:tcBorders>
              <w:top w:val="nil"/>
              <w:left w:val="nil"/>
              <w:bottom w:val="single" w:sz="4" w:space="0" w:color="auto"/>
              <w:right w:val="single" w:sz="4" w:space="0" w:color="auto"/>
            </w:tcBorders>
            <w:shd w:val="clear" w:color="auto" w:fill="auto"/>
            <w:noWrap/>
            <w:vAlign w:val="bottom"/>
            <w:hideMark/>
          </w:tcPr>
          <w:p w:rsidR="00C126ED" w:rsidRPr="00227B1B" w:rsidRDefault="00C126ED" w:rsidP="00C126ED">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r w:rsidR="00C126ED" w:rsidRPr="00227B1B" w:rsidTr="00C126ED">
        <w:trPr>
          <w:trHeight w:val="300"/>
        </w:trPr>
        <w:tc>
          <w:tcPr>
            <w:tcW w:w="6132" w:type="dxa"/>
            <w:tcBorders>
              <w:top w:val="nil"/>
              <w:left w:val="single" w:sz="4" w:space="0" w:color="auto"/>
              <w:bottom w:val="single" w:sz="4" w:space="0" w:color="auto"/>
              <w:right w:val="single" w:sz="4" w:space="0" w:color="auto"/>
            </w:tcBorders>
            <w:shd w:val="clear" w:color="auto" w:fill="auto"/>
            <w:noWrap/>
            <w:vAlign w:val="bottom"/>
            <w:hideMark/>
          </w:tcPr>
          <w:p w:rsidR="00C126ED" w:rsidRPr="00227B1B" w:rsidRDefault="00C126ED" w:rsidP="00C126ED">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Poor overall regulatory framework / Excessive burden of regulations</w:t>
            </w:r>
          </w:p>
        </w:tc>
        <w:tc>
          <w:tcPr>
            <w:tcW w:w="960" w:type="dxa"/>
            <w:tcBorders>
              <w:top w:val="nil"/>
              <w:left w:val="nil"/>
              <w:bottom w:val="single" w:sz="4" w:space="0" w:color="auto"/>
              <w:right w:val="single" w:sz="4" w:space="0" w:color="auto"/>
            </w:tcBorders>
            <w:shd w:val="clear" w:color="auto" w:fill="auto"/>
            <w:noWrap/>
            <w:vAlign w:val="bottom"/>
            <w:hideMark/>
          </w:tcPr>
          <w:p w:rsidR="00C126ED" w:rsidRPr="00227B1B" w:rsidRDefault="00C126ED" w:rsidP="00C126ED">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bl>
    <w:p w:rsidR="00C126ED" w:rsidRPr="00227B1B" w:rsidRDefault="00C126ED" w:rsidP="00CC77AD">
      <w:pPr>
        <w:jc w:val="both"/>
        <w:rPr>
          <w:lang w:val="en-GB"/>
        </w:rPr>
      </w:pPr>
    </w:p>
    <w:p w:rsidR="008D60E4" w:rsidRPr="00227B1B" w:rsidRDefault="008D60E4" w:rsidP="00CC77AD">
      <w:pPr>
        <w:jc w:val="both"/>
        <w:rPr>
          <w:lang w:val="en-GB"/>
        </w:rPr>
      </w:pPr>
      <w:r w:rsidRPr="00227B1B">
        <w:rPr>
          <w:lang w:val="en-GB"/>
        </w:rPr>
        <w:t xml:space="preserve">EU regulation and paperwork is often considered as complicated not only by non-EU actors but EU companies /SMEs as well. It is a question whether a.) a more detailed explanation and further support services to EU regulation / trade requirements would help, or b.) steps on behalf of the Moldovan government should be taken to more harmonisation with EU regulation hence simplifying the burden of double administration for those having international economic relations. A “c.)” solution, where the EU simplifies its own regulation and institutional setting is not expected, although in the Small Business Act the EU foresaw more simplification, in practice </w:t>
      </w:r>
      <w:r w:rsidR="006407A6" w:rsidRPr="00227B1B">
        <w:rPr>
          <w:lang w:val="en-GB"/>
        </w:rPr>
        <w:t>the steps taken are small and slow.</w:t>
      </w:r>
      <w:r w:rsidRPr="00227B1B">
        <w:rPr>
          <w:lang w:val="en-GB"/>
        </w:rPr>
        <w:t xml:space="preserve">  </w:t>
      </w:r>
    </w:p>
    <w:p w:rsidR="007E7D14" w:rsidRPr="00227B1B" w:rsidRDefault="007E7D14" w:rsidP="00CC77AD">
      <w:pPr>
        <w:jc w:val="both"/>
        <w:rPr>
          <w:lang w:val="en-GB"/>
        </w:rPr>
      </w:pPr>
      <w:r w:rsidRPr="00227B1B">
        <w:rPr>
          <w:lang w:val="en-GB"/>
        </w:rPr>
        <w:t xml:space="preserve">In the domain of taxing and customs regulations and charges, 5 out of the 7 obstacles were considered at least as significant: </w:t>
      </w:r>
    </w:p>
    <w:tbl>
      <w:tblPr>
        <w:tblW w:w="5500" w:type="dxa"/>
        <w:tblInd w:w="55" w:type="dxa"/>
        <w:tblCellMar>
          <w:left w:w="70" w:type="dxa"/>
          <w:right w:w="70" w:type="dxa"/>
        </w:tblCellMar>
        <w:tblLook w:val="04A0"/>
      </w:tblPr>
      <w:tblGrid>
        <w:gridCol w:w="4540"/>
        <w:gridCol w:w="960"/>
      </w:tblGrid>
      <w:tr w:rsidR="007E7D14" w:rsidRPr="00227B1B" w:rsidTr="007E7D14">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D14" w:rsidRPr="00227B1B" w:rsidRDefault="007E7D14" w:rsidP="007E7D1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Unstable and non-transparent tax rules and/or their applications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E7D14" w:rsidRPr="00227B1B" w:rsidRDefault="007E7D14" w:rsidP="007E7D14">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3,27</w:t>
            </w:r>
          </w:p>
        </w:tc>
      </w:tr>
      <w:tr w:rsidR="007E7D14" w:rsidRPr="00227B1B" w:rsidTr="007E7D1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7E7D14" w:rsidRPr="00227B1B" w:rsidRDefault="007E7D14" w:rsidP="007E7D1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cost of compliance</w:t>
            </w:r>
          </w:p>
        </w:tc>
        <w:tc>
          <w:tcPr>
            <w:tcW w:w="960" w:type="dxa"/>
            <w:tcBorders>
              <w:top w:val="nil"/>
              <w:left w:val="nil"/>
              <w:bottom w:val="single" w:sz="4" w:space="0" w:color="auto"/>
              <w:right w:val="single" w:sz="4" w:space="0" w:color="auto"/>
            </w:tcBorders>
            <w:shd w:val="clear" w:color="auto" w:fill="auto"/>
            <w:noWrap/>
            <w:vAlign w:val="bottom"/>
            <w:hideMark/>
          </w:tcPr>
          <w:p w:rsidR="007E7D14" w:rsidRPr="00227B1B" w:rsidRDefault="007E7D14" w:rsidP="007E7D14">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3,09</w:t>
            </w:r>
          </w:p>
        </w:tc>
      </w:tr>
      <w:tr w:rsidR="007E7D14" w:rsidRPr="00227B1B" w:rsidTr="007E7D1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7E7D14" w:rsidRPr="00227B1B" w:rsidRDefault="007E7D14" w:rsidP="007E7D1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custom charges</w:t>
            </w:r>
          </w:p>
        </w:tc>
        <w:tc>
          <w:tcPr>
            <w:tcW w:w="960" w:type="dxa"/>
            <w:tcBorders>
              <w:top w:val="nil"/>
              <w:left w:val="nil"/>
              <w:bottom w:val="single" w:sz="4" w:space="0" w:color="auto"/>
              <w:right w:val="single" w:sz="4" w:space="0" w:color="auto"/>
            </w:tcBorders>
            <w:shd w:val="clear" w:color="auto" w:fill="auto"/>
            <w:noWrap/>
            <w:vAlign w:val="bottom"/>
            <w:hideMark/>
          </w:tcPr>
          <w:p w:rsidR="007E7D14" w:rsidRPr="00227B1B" w:rsidRDefault="007E7D14" w:rsidP="007E7D14">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3,09</w:t>
            </w:r>
          </w:p>
        </w:tc>
      </w:tr>
      <w:tr w:rsidR="007E7D14" w:rsidRPr="00227B1B" w:rsidTr="007E7D1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7E7D14" w:rsidRPr="00227B1B" w:rsidRDefault="007E7D14" w:rsidP="007E7D1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effective SME presumptive tax rates</w:t>
            </w:r>
          </w:p>
        </w:tc>
        <w:tc>
          <w:tcPr>
            <w:tcW w:w="960" w:type="dxa"/>
            <w:tcBorders>
              <w:top w:val="nil"/>
              <w:left w:val="nil"/>
              <w:bottom w:val="single" w:sz="4" w:space="0" w:color="auto"/>
              <w:right w:val="single" w:sz="4" w:space="0" w:color="auto"/>
            </w:tcBorders>
            <w:shd w:val="clear" w:color="auto" w:fill="auto"/>
            <w:noWrap/>
            <w:vAlign w:val="bottom"/>
            <w:hideMark/>
          </w:tcPr>
          <w:p w:rsidR="007E7D14" w:rsidRPr="00227B1B" w:rsidRDefault="007E7D14" w:rsidP="007E7D14">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3,00</w:t>
            </w:r>
          </w:p>
        </w:tc>
      </w:tr>
      <w:tr w:rsidR="007E7D14" w:rsidRPr="00227B1B" w:rsidTr="007E7D1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7E7D14" w:rsidRPr="00227B1B" w:rsidRDefault="007E7D14" w:rsidP="007E7D1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effective value added tax / trade tax rates</w:t>
            </w:r>
          </w:p>
        </w:tc>
        <w:tc>
          <w:tcPr>
            <w:tcW w:w="960" w:type="dxa"/>
            <w:tcBorders>
              <w:top w:val="nil"/>
              <w:left w:val="nil"/>
              <w:bottom w:val="single" w:sz="4" w:space="0" w:color="auto"/>
              <w:right w:val="single" w:sz="4" w:space="0" w:color="auto"/>
            </w:tcBorders>
            <w:shd w:val="clear" w:color="auto" w:fill="auto"/>
            <w:noWrap/>
            <w:vAlign w:val="bottom"/>
            <w:hideMark/>
          </w:tcPr>
          <w:p w:rsidR="007E7D14" w:rsidRPr="00227B1B" w:rsidRDefault="007E7D14" w:rsidP="007E7D14">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3,00</w:t>
            </w:r>
          </w:p>
        </w:tc>
      </w:tr>
      <w:tr w:rsidR="007E7D14" w:rsidRPr="00227B1B" w:rsidTr="007E7D1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7E7D14" w:rsidRPr="00227B1B" w:rsidRDefault="007E7D14" w:rsidP="007E7D1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Other high taxes and fiscal fees/charges</w:t>
            </w:r>
          </w:p>
        </w:tc>
        <w:tc>
          <w:tcPr>
            <w:tcW w:w="960" w:type="dxa"/>
            <w:tcBorders>
              <w:top w:val="nil"/>
              <w:left w:val="nil"/>
              <w:bottom w:val="single" w:sz="4" w:space="0" w:color="auto"/>
              <w:right w:val="single" w:sz="4" w:space="0" w:color="auto"/>
            </w:tcBorders>
            <w:shd w:val="clear" w:color="auto" w:fill="auto"/>
            <w:noWrap/>
            <w:vAlign w:val="bottom"/>
            <w:hideMark/>
          </w:tcPr>
          <w:p w:rsidR="007E7D14" w:rsidRPr="00227B1B" w:rsidRDefault="007E7D14" w:rsidP="007E7D14">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3,00</w:t>
            </w:r>
          </w:p>
        </w:tc>
      </w:tr>
    </w:tbl>
    <w:p w:rsidR="007E7D14" w:rsidRPr="00227B1B" w:rsidRDefault="007E7D14" w:rsidP="00CC77AD">
      <w:pPr>
        <w:jc w:val="both"/>
        <w:rPr>
          <w:lang w:val="en-GB"/>
        </w:rPr>
      </w:pPr>
    </w:p>
    <w:p w:rsidR="00E66C4B" w:rsidRPr="00227B1B" w:rsidRDefault="00E66C4B" w:rsidP="00CC77AD">
      <w:pPr>
        <w:jc w:val="both"/>
        <w:rPr>
          <w:lang w:val="en-GB"/>
        </w:rPr>
      </w:pPr>
      <w:r w:rsidRPr="00227B1B">
        <w:rPr>
          <w:highlight w:val="yellow"/>
          <w:lang w:val="en-GB"/>
        </w:rPr>
        <w:t>Important to note that we do not have information of which custom charges they consider significant, whether the eastern or western trade is more affected by this, and although the EU aims to lessen customs with important business partner regions, the customs rate still could be high for Moldovan SME partners.</w:t>
      </w:r>
      <w:r w:rsidRPr="00227B1B">
        <w:rPr>
          <w:lang w:val="en-GB"/>
        </w:rPr>
        <w:t xml:space="preserve"> </w:t>
      </w:r>
      <w:r w:rsidR="0008649F" w:rsidRPr="00227B1B">
        <w:rPr>
          <w:highlight w:val="yellow"/>
          <w:lang w:val="en-GB"/>
        </w:rPr>
        <w:t>??? Hol áll ez a kérdés most – leellenőrizni.</w:t>
      </w:r>
      <w:r w:rsidR="0008649F" w:rsidRPr="00227B1B">
        <w:rPr>
          <w:lang w:val="en-GB"/>
        </w:rPr>
        <w:t xml:space="preserve"> </w:t>
      </w:r>
    </w:p>
    <w:p w:rsidR="00A63402" w:rsidRPr="00227B1B" w:rsidRDefault="00A63402" w:rsidP="00CC77AD">
      <w:pPr>
        <w:jc w:val="both"/>
        <w:rPr>
          <w:lang w:val="en-GB"/>
        </w:rPr>
      </w:pPr>
      <w:r w:rsidRPr="00227B1B">
        <w:rPr>
          <w:lang w:val="en-GB"/>
        </w:rPr>
        <w:t xml:space="preserve">The only area where V4-GMU help was needed by more than 4 respondents was the stability (or rather: the lack of stability) of transparent tax rules. It is questionable though whether the activities of this project can have a direct effect on stability of those regulations. </w:t>
      </w:r>
    </w:p>
    <w:tbl>
      <w:tblPr>
        <w:tblW w:w="8098" w:type="dxa"/>
        <w:tblInd w:w="52" w:type="dxa"/>
        <w:tblCellMar>
          <w:left w:w="70" w:type="dxa"/>
          <w:right w:w="70" w:type="dxa"/>
        </w:tblCellMar>
        <w:tblLook w:val="04A0"/>
      </w:tblPr>
      <w:tblGrid>
        <w:gridCol w:w="6681"/>
        <w:gridCol w:w="1417"/>
      </w:tblGrid>
      <w:tr w:rsidR="00A63402" w:rsidRPr="00227B1B" w:rsidTr="00A63402">
        <w:trPr>
          <w:trHeight w:val="300"/>
        </w:trPr>
        <w:tc>
          <w:tcPr>
            <w:tcW w:w="6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402" w:rsidRPr="00227B1B" w:rsidRDefault="00A63402" w:rsidP="00A63402">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lastRenderedPageBreak/>
              <w:t>Unstable and non-transparent tax rules and/or their applications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63402" w:rsidRPr="00227B1B" w:rsidRDefault="00A63402" w:rsidP="00A63402">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5</w:t>
            </w:r>
          </w:p>
        </w:tc>
      </w:tr>
    </w:tbl>
    <w:p w:rsidR="00A63402" w:rsidRPr="00227B1B" w:rsidRDefault="00A63402" w:rsidP="00CC77AD">
      <w:pPr>
        <w:jc w:val="both"/>
        <w:rPr>
          <w:lang w:val="en-GB"/>
        </w:rPr>
      </w:pPr>
    </w:p>
    <w:p w:rsidR="007E7D14" w:rsidRPr="00227B1B" w:rsidRDefault="00E5116D" w:rsidP="00CC77AD">
      <w:pPr>
        <w:jc w:val="both"/>
        <w:rPr>
          <w:lang w:val="en-GB"/>
        </w:rPr>
      </w:pPr>
      <w:r w:rsidRPr="00227B1B">
        <w:rPr>
          <w:lang w:val="en-GB"/>
        </w:rPr>
        <w:t xml:space="preserve">In the field of </w:t>
      </w:r>
      <w:r w:rsidR="00702461" w:rsidRPr="00227B1B">
        <w:rPr>
          <w:lang w:val="en-GB"/>
        </w:rPr>
        <w:t>law and order, there were only 4 topics listed, and 2 of them were considered as signi</w:t>
      </w:r>
      <w:r w:rsidR="00F21901">
        <w:rPr>
          <w:lang w:val="en-GB"/>
        </w:rPr>
        <w:t>ficant obstacles by the responde</w:t>
      </w:r>
      <w:r w:rsidR="00702461" w:rsidRPr="00227B1B">
        <w:rPr>
          <w:lang w:val="en-GB"/>
        </w:rPr>
        <w:t xml:space="preserve">nts: </w:t>
      </w:r>
    </w:p>
    <w:tbl>
      <w:tblPr>
        <w:tblW w:w="6420" w:type="dxa"/>
        <w:tblInd w:w="52" w:type="dxa"/>
        <w:tblCellMar>
          <w:left w:w="70" w:type="dxa"/>
          <w:right w:w="70" w:type="dxa"/>
        </w:tblCellMar>
        <w:tblLook w:val="04A0"/>
      </w:tblPr>
      <w:tblGrid>
        <w:gridCol w:w="5460"/>
        <w:gridCol w:w="960"/>
      </w:tblGrid>
      <w:tr w:rsidR="00702461" w:rsidRPr="00227B1B" w:rsidTr="00702461">
        <w:trPr>
          <w:trHeight w:val="300"/>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461" w:rsidRPr="00227B1B" w:rsidRDefault="00702461" w:rsidP="00702461">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Corruption / Clientelism / Favoritism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02461" w:rsidRPr="00227B1B" w:rsidRDefault="00702461" w:rsidP="00702461">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3,73</w:t>
            </w:r>
          </w:p>
        </w:tc>
      </w:tr>
      <w:tr w:rsidR="00702461" w:rsidRPr="00227B1B" w:rsidTr="00702461">
        <w:trPr>
          <w:trHeight w:val="30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702461" w:rsidRPr="00227B1B" w:rsidRDefault="00702461" w:rsidP="00702461">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Weak judiciary</w:t>
            </w:r>
          </w:p>
        </w:tc>
        <w:tc>
          <w:tcPr>
            <w:tcW w:w="960" w:type="dxa"/>
            <w:tcBorders>
              <w:top w:val="nil"/>
              <w:left w:val="nil"/>
              <w:bottom w:val="single" w:sz="4" w:space="0" w:color="auto"/>
              <w:right w:val="single" w:sz="4" w:space="0" w:color="auto"/>
            </w:tcBorders>
            <w:shd w:val="clear" w:color="auto" w:fill="auto"/>
            <w:noWrap/>
            <w:vAlign w:val="bottom"/>
            <w:hideMark/>
          </w:tcPr>
          <w:p w:rsidR="00702461" w:rsidRPr="00227B1B" w:rsidRDefault="00702461" w:rsidP="00702461">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3,45</w:t>
            </w:r>
          </w:p>
        </w:tc>
      </w:tr>
    </w:tbl>
    <w:p w:rsidR="00702461" w:rsidRPr="00227B1B" w:rsidRDefault="00702461" w:rsidP="00CC77AD">
      <w:pPr>
        <w:jc w:val="both"/>
        <w:rPr>
          <w:lang w:val="en-GB"/>
        </w:rPr>
      </w:pPr>
    </w:p>
    <w:p w:rsidR="00702461" w:rsidRPr="00227B1B" w:rsidRDefault="00702461" w:rsidP="00CC77AD">
      <w:pPr>
        <w:jc w:val="both"/>
        <w:rPr>
          <w:lang w:val="en-GB"/>
        </w:rPr>
      </w:pPr>
      <w:r w:rsidRPr="00227B1B">
        <w:rPr>
          <w:lang w:val="en-GB"/>
        </w:rPr>
        <w:t xml:space="preserve">Also, these two areas were indicated as needing V4-GMU help by 4 people. These domains are, on the other hand, among the hardest to handle. In the fields of corruption, the role of international and watchdog organisations is high, </w:t>
      </w:r>
      <w:r w:rsidR="00AF7CE6" w:rsidRPr="00227B1B">
        <w:rPr>
          <w:lang w:val="en-GB"/>
        </w:rPr>
        <w:t xml:space="preserve">on the other hand clientelism and favouritism are issues that are not necessary properly addressed in other countries neither. Regarding the judiciary system, </w:t>
      </w:r>
      <w:r w:rsidR="00E57476" w:rsidRPr="00227B1B">
        <w:rPr>
          <w:lang w:val="en-GB"/>
        </w:rPr>
        <w:t xml:space="preserve">most likely an overall reform can lead to better functioning. </w:t>
      </w:r>
    </w:p>
    <w:p w:rsidR="00E57476" w:rsidRPr="00227B1B" w:rsidRDefault="005C2EFC" w:rsidP="00CC77AD">
      <w:pPr>
        <w:jc w:val="both"/>
        <w:rPr>
          <w:lang w:val="en-GB"/>
        </w:rPr>
      </w:pPr>
      <w:r w:rsidRPr="00227B1B">
        <w:rPr>
          <w:lang w:val="en-GB"/>
        </w:rPr>
        <w:t xml:space="preserve">In the domain of market obstacles, 12 out of the 14 questions received a value higher than 3, which evidently shows a lot of tensions in terms of availability and functioning of the markets. </w:t>
      </w:r>
    </w:p>
    <w:tbl>
      <w:tblPr>
        <w:tblW w:w="6726" w:type="dxa"/>
        <w:tblInd w:w="52" w:type="dxa"/>
        <w:tblCellMar>
          <w:left w:w="70" w:type="dxa"/>
          <w:right w:w="70" w:type="dxa"/>
        </w:tblCellMar>
        <w:tblLook w:val="04A0"/>
      </w:tblPr>
      <w:tblGrid>
        <w:gridCol w:w="5766"/>
        <w:gridCol w:w="960"/>
      </w:tblGrid>
      <w:tr w:rsidR="005C2EFC" w:rsidRPr="00227B1B" w:rsidTr="005C2EFC">
        <w:trPr>
          <w:trHeight w:val="300"/>
        </w:trPr>
        <w:tc>
          <w:tcPr>
            <w:tcW w:w="5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Monopolization / Excessive market power of some participants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3,82</w:t>
            </w:r>
          </w:p>
        </w:tc>
      </w:tr>
      <w:tr w:rsidR="005C2EFC" w:rsidRPr="00227B1B" w:rsidTr="005C2EFC">
        <w:trPr>
          <w:trHeight w:val="300"/>
        </w:trPr>
        <w:tc>
          <w:tcPr>
            <w:tcW w:w="5766" w:type="dxa"/>
            <w:tcBorders>
              <w:top w:val="nil"/>
              <w:left w:val="single" w:sz="4" w:space="0" w:color="auto"/>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Barriers for exports to foreign markets</w:t>
            </w:r>
          </w:p>
        </w:tc>
        <w:tc>
          <w:tcPr>
            <w:tcW w:w="960" w:type="dxa"/>
            <w:tcBorders>
              <w:top w:val="nil"/>
              <w:left w:val="nil"/>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3,64</w:t>
            </w:r>
          </w:p>
        </w:tc>
      </w:tr>
      <w:tr w:rsidR="005C2EFC" w:rsidRPr="00227B1B" w:rsidTr="005C2EFC">
        <w:trPr>
          <w:trHeight w:val="300"/>
        </w:trPr>
        <w:tc>
          <w:tcPr>
            <w:tcW w:w="5766" w:type="dxa"/>
            <w:tcBorders>
              <w:top w:val="nil"/>
              <w:left w:val="single" w:sz="4" w:space="0" w:color="auto"/>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Unfair competition / Uneven playing field / Informal economy</w:t>
            </w:r>
          </w:p>
        </w:tc>
        <w:tc>
          <w:tcPr>
            <w:tcW w:w="960" w:type="dxa"/>
            <w:tcBorders>
              <w:top w:val="nil"/>
              <w:left w:val="nil"/>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3,64</w:t>
            </w:r>
          </w:p>
        </w:tc>
      </w:tr>
      <w:tr w:rsidR="005C2EFC" w:rsidRPr="00227B1B" w:rsidTr="005C2EFC">
        <w:trPr>
          <w:trHeight w:val="300"/>
        </w:trPr>
        <w:tc>
          <w:tcPr>
            <w:tcW w:w="5766" w:type="dxa"/>
            <w:tcBorders>
              <w:top w:val="nil"/>
              <w:left w:val="single" w:sz="4" w:space="0" w:color="auto"/>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Political instability</w:t>
            </w:r>
          </w:p>
        </w:tc>
        <w:tc>
          <w:tcPr>
            <w:tcW w:w="960" w:type="dxa"/>
            <w:tcBorders>
              <w:top w:val="nil"/>
              <w:left w:val="nil"/>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3,50</w:t>
            </w:r>
          </w:p>
        </w:tc>
      </w:tr>
      <w:tr w:rsidR="005C2EFC" w:rsidRPr="00227B1B" w:rsidTr="005C2EFC">
        <w:trPr>
          <w:trHeight w:val="300"/>
        </w:trPr>
        <w:tc>
          <w:tcPr>
            <w:tcW w:w="5766" w:type="dxa"/>
            <w:tcBorders>
              <w:top w:val="nil"/>
              <w:left w:val="single" w:sz="4" w:space="0" w:color="auto"/>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Low level of activities of venture capital</w:t>
            </w:r>
          </w:p>
        </w:tc>
        <w:tc>
          <w:tcPr>
            <w:tcW w:w="960" w:type="dxa"/>
            <w:tcBorders>
              <w:top w:val="nil"/>
              <w:left w:val="nil"/>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3,38</w:t>
            </w:r>
          </w:p>
        </w:tc>
      </w:tr>
      <w:tr w:rsidR="005C2EFC" w:rsidRPr="00227B1B" w:rsidTr="005C2EFC">
        <w:trPr>
          <w:trHeight w:val="300"/>
        </w:trPr>
        <w:tc>
          <w:tcPr>
            <w:tcW w:w="5766" w:type="dxa"/>
            <w:tcBorders>
              <w:top w:val="nil"/>
              <w:left w:val="single" w:sz="4" w:space="0" w:color="auto"/>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Weak market position of SMEs</w:t>
            </w:r>
          </w:p>
        </w:tc>
        <w:tc>
          <w:tcPr>
            <w:tcW w:w="960" w:type="dxa"/>
            <w:tcBorders>
              <w:top w:val="nil"/>
              <w:left w:val="nil"/>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3,36</w:t>
            </w:r>
          </w:p>
        </w:tc>
      </w:tr>
      <w:tr w:rsidR="005C2EFC" w:rsidRPr="00227B1B" w:rsidTr="005C2EFC">
        <w:trPr>
          <w:trHeight w:val="300"/>
        </w:trPr>
        <w:tc>
          <w:tcPr>
            <w:tcW w:w="5766" w:type="dxa"/>
            <w:tcBorders>
              <w:top w:val="nil"/>
              <w:left w:val="single" w:sz="4" w:space="0" w:color="auto"/>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Weak professional organizations of SMEs</w:t>
            </w:r>
          </w:p>
        </w:tc>
        <w:tc>
          <w:tcPr>
            <w:tcW w:w="960" w:type="dxa"/>
            <w:tcBorders>
              <w:top w:val="nil"/>
              <w:left w:val="nil"/>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3,27</w:t>
            </w:r>
          </w:p>
        </w:tc>
      </w:tr>
      <w:tr w:rsidR="005C2EFC" w:rsidRPr="00227B1B" w:rsidTr="005C2EFC">
        <w:trPr>
          <w:trHeight w:val="300"/>
        </w:trPr>
        <w:tc>
          <w:tcPr>
            <w:tcW w:w="5766" w:type="dxa"/>
            <w:tcBorders>
              <w:top w:val="nil"/>
              <w:left w:val="single" w:sz="4" w:space="0" w:color="auto"/>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Insufficient market information/governmental support for SMEs</w:t>
            </w:r>
          </w:p>
        </w:tc>
        <w:tc>
          <w:tcPr>
            <w:tcW w:w="960" w:type="dxa"/>
            <w:tcBorders>
              <w:top w:val="nil"/>
              <w:left w:val="nil"/>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3,27</w:t>
            </w:r>
          </w:p>
        </w:tc>
      </w:tr>
      <w:tr w:rsidR="005C2EFC" w:rsidRPr="00227B1B" w:rsidTr="005C2EFC">
        <w:trPr>
          <w:trHeight w:val="300"/>
        </w:trPr>
        <w:tc>
          <w:tcPr>
            <w:tcW w:w="5766" w:type="dxa"/>
            <w:tcBorders>
              <w:top w:val="nil"/>
              <w:left w:val="single" w:sz="4" w:space="0" w:color="auto"/>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Small market size / Weak demand</w:t>
            </w:r>
          </w:p>
        </w:tc>
        <w:tc>
          <w:tcPr>
            <w:tcW w:w="960" w:type="dxa"/>
            <w:tcBorders>
              <w:top w:val="nil"/>
              <w:left w:val="nil"/>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3,18</w:t>
            </w:r>
          </w:p>
        </w:tc>
      </w:tr>
      <w:tr w:rsidR="005C2EFC" w:rsidRPr="00227B1B" w:rsidTr="005C2EFC">
        <w:trPr>
          <w:trHeight w:val="300"/>
        </w:trPr>
        <w:tc>
          <w:tcPr>
            <w:tcW w:w="5766" w:type="dxa"/>
            <w:tcBorders>
              <w:top w:val="nil"/>
              <w:left w:val="single" w:sz="4" w:space="0" w:color="auto"/>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Macroeconomic instability (demand, inflation, exchange rate)</w:t>
            </w:r>
          </w:p>
        </w:tc>
        <w:tc>
          <w:tcPr>
            <w:tcW w:w="960" w:type="dxa"/>
            <w:tcBorders>
              <w:top w:val="nil"/>
              <w:left w:val="nil"/>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3,18</w:t>
            </w:r>
          </w:p>
        </w:tc>
      </w:tr>
      <w:tr w:rsidR="005C2EFC" w:rsidRPr="00227B1B" w:rsidTr="005C2EFC">
        <w:trPr>
          <w:trHeight w:val="300"/>
        </w:trPr>
        <w:tc>
          <w:tcPr>
            <w:tcW w:w="5766" w:type="dxa"/>
            <w:tcBorders>
              <w:top w:val="nil"/>
              <w:left w:val="single" w:sz="4" w:space="0" w:color="auto"/>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Discriminatory practices of authorities</w:t>
            </w:r>
          </w:p>
        </w:tc>
        <w:tc>
          <w:tcPr>
            <w:tcW w:w="960" w:type="dxa"/>
            <w:tcBorders>
              <w:top w:val="nil"/>
              <w:left w:val="nil"/>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3,11</w:t>
            </w:r>
          </w:p>
        </w:tc>
      </w:tr>
      <w:tr w:rsidR="005C2EFC" w:rsidRPr="00227B1B" w:rsidTr="005C2EFC">
        <w:trPr>
          <w:trHeight w:val="300"/>
        </w:trPr>
        <w:tc>
          <w:tcPr>
            <w:tcW w:w="5766" w:type="dxa"/>
            <w:tcBorders>
              <w:top w:val="nil"/>
              <w:left w:val="single" w:sz="4" w:space="0" w:color="auto"/>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Weak analytical and policy advocacy of SME organizations</w:t>
            </w:r>
          </w:p>
        </w:tc>
        <w:tc>
          <w:tcPr>
            <w:tcW w:w="960" w:type="dxa"/>
            <w:tcBorders>
              <w:top w:val="nil"/>
              <w:left w:val="nil"/>
              <w:bottom w:val="single" w:sz="4" w:space="0" w:color="auto"/>
              <w:right w:val="single" w:sz="4" w:space="0" w:color="auto"/>
            </w:tcBorders>
            <w:shd w:val="clear" w:color="auto" w:fill="auto"/>
            <w:noWrap/>
            <w:vAlign w:val="bottom"/>
            <w:hideMark/>
          </w:tcPr>
          <w:p w:rsidR="005C2EFC" w:rsidRPr="00227B1B" w:rsidRDefault="005C2EFC" w:rsidP="005C2EFC">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3,10</w:t>
            </w:r>
          </w:p>
        </w:tc>
      </w:tr>
    </w:tbl>
    <w:p w:rsidR="005C2EFC" w:rsidRPr="00227B1B" w:rsidRDefault="005C2EFC" w:rsidP="00CC77AD">
      <w:pPr>
        <w:jc w:val="both"/>
        <w:rPr>
          <w:lang w:val="en-GB"/>
        </w:rPr>
      </w:pPr>
    </w:p>
    <w:p w:rsidR="00AE78AA" w:rsidRPr="00227B1B" w:rsidRDefault="00AE78AA" w:rsidP="00CC77AD">
      <w:pPr>
        <w:jc w:val="both"/>
        <w:rPr>
          <w:lang w:val="en-GB"/>
        </w:rPr>
      </w:pPr>
      <w:r w:rsidRPr="00227B1B">
        <w:rPr>
          <w:lang w:val="en-GB"/>
        </w:rPr>
        <w:t xml:space="preserve">It is important to highlight that the weak analytical and policy advocacy of SME organisations can clearly be targeted in the framework of this project, while some other obstacles – such as macroeconomic instability – are beyond the capacities of this exercise. </w:t>
      </w:r>
    </w:p>
    <w:p w:rsidR="005C2EFC" w:rsidRPr="00227B1B" w:rsidRDefault="00AE78AA" w:rsidP="00CC77AD">
      <w:pPr>
        <w:jc w:val="both"/>
        <w:rPr>
          <w:lang w:val="en-GB"/>
        </w:rPr>
      </w:pPr>
      <w:r w:rsidRPr="00227B1B">
        <w:rPr>
          <w:lang w:val="en-GB"/>
        </w:rPr>
        <w:t>The following fields were mentioned by at least 4 respond</w:t>
      </w:r>
      <w:r w:rsidR="00F21901">
        <w:rPr>
          <w:lang w:val="en-GB"/>
        </w:rPr>
        <w:t>e</w:t>
      </w:r>
      <w:r w:rsidRPr="00227B1B">
        <w:rPr>
          <w:lang w:val="en-GB"/>
        </w:rPr>
        <w:t xml:space="preserve">nts as ones needing V4-GMU project help: </w:t>
      </w:r>
    </w:p>
    <w:tbl>
      <w:tblPr>
        <w:tblW w:w="8098" w:type="dxa"/>
        <w:tblInd w:w="52" w:type="dxa"/>
        <w:tblCellMar>
          <w:left w:w="70" w:type="dxa"/>
          <w:right w:w="70" w:type="dxa"/>
        </w:tblCellMar>
        <w:tblLook w:val="04A0"/>
      </w:tblPr>
      <w:tblGrid>
        <w:gridCol w:w="7248"/>
        <w:gridCol w:w="850"/>
      </w:tblGrid>
      <w:tr w:rsidR="00AE78AA" w:rsidRPr="00227B1B" w:rsidTr="00AE78AA">
        <w:trPr>
          <w:trHeight w:val="300"/>
        </w:trPr>
        <w:tc>
          <w:tcPr>
            <w:tcW w:w="7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8AA" w:rsidRPr="00227B1B" w:rsidRDefault="00AE78AA" w:rsidP="00AE78AA">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Weak market position of SMEs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E78AA" w:rsidRPr="00227B1B" w:rsidRDefault="00AE78AA" w:rsidP="00AE78AA">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5</w:t>
            </w:r>
          </w:p>
        </w:tc>
      </w:tr>
      <w:tr w:rsidR="00AE78AA" w:rsidRPr="00227B1B" w:rsidTr="00AE78AA">
        <w:trPr>
          <w:trHeight w:val="300"/>
        </w:trPr>
        <w:tc>
          <w:tcPr>
            <w:tcW w:w="7248" w:type="dxa"/>
            <w:tcBorders>
              <w:top w:val="nil"/>
              <w:left w:val="single" w:sz="4" w:space="0" w:color="auto"/>
              <w:bottom w:val="single" w:sz="4" w:space="0" w:color="auto"/>
              <w:right w:val="single" w:sz="4" w:space="0" w:color="auto"/>
            </w:tcBorders>
            <w:shd w:val="clear" w:color="auto" w:fill="auto"/>
            <w:noWrap/>
            <w:vAlign w:val="bottom"/>
            <w:hideMark/>
          </w:tcPr>
          <w:p w:rsidR="00AE78AA" w:rsidRPr="00227B1B" w:rsidRDefault="00AE78AA" w:rsidP="00AE78AA">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Monopolization / Excessive market power of some participants</w:t>
            </w:r>
          </w:p>
        </w:tc>
        <w:tc>
          <w:tcPr>
            <w:tcW w:w="850" w:type="dxa"/>
            <w:tcBorders>
              <w:top w:val="nil"/>
              <w:left w:val="nil"/>
              <w:bottom w:val="single" w:sz="4" w:space="0" w:color="auto"/>
              <w:right w:val="single" w:sz="4" w:space="0" w:color="auto"/>
            </w:tcBorders>
            <w:shd w:val="clear" w:color="auto" w:fill="auto"/>
            <w:noWrap/>
            <w:vAlign w:val="bottom"/>
            <w:hideMark/>
          </w:tcPr>
          <w:p w:rsidR="00AE78AA" w:rsidRPr="00227B1B" w:rsidRDefault="00AE78AA" w:rsidP="00AE78AA">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r w:rsidR="00AE78AA" w:rsidRPr="00227B1B" w:rsidTr="00AE78AA">
        <w:trPr>
          <w:trHeight w:val="300"/>
        </w:trPr>
        <w:tc>
          <w:tcPr>
            <w:tcW w:w="7248" w:type="dxa"/>
            <w:tcBorders>
              <w:top w:val="nil"/>
              <w:left w:val="single" w:sz="4" w:space="0" w:color="auto"/>
              <w:bottom w:val="single" w:sz="4" w:space="0" w:color="auto"/>
              <w:right w:val="single" w:sz="4" w:space="0" w:color="auto"/>
            </w:tcBorders>
            <w:shd w:val="clear" w:color="auto" w:fill="auto"/>
            <w:noWrap/>
            <w:vAlign w:val="bottom"/>
            <w:hideMark/>
          </w:tcPr>
          <w:p w:rsidR="00AE78AA" w:rsidRPr="00227B1B" w:rsidRDefault="00AE78AA" w:rsidP="00AE78AA">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Barriers for exports to foreign markets</w:t>
            </w:r>
          </w:p>
        </w:tc>
        <w:tc>
          <w:tcPr>
            <w:tcW w:w="850" w:type="dxa"/>
            <w:tcBorders>
              <w:top w:val="nil"/>
              <w:left w:val="nil"/>
              <w:bottom w:val="single" w:sz="4" w:space="0" w:color="auto"/>
              <w:right w:val="single" w:sz="4" w:space="0" w:color="auto"/>
            </w:tcBorders>
            <w:shd w:val="clear" w:color="auto" w:fill="auto"/>
            <w:noWrap/>
            <w:vAlign w:val="bottom"/>
            <w:hideMark/>
          </w:tcPr>
          <w:p w:rsidR="00AE78AA" w:rsidRPr="00227B1B" w:rsidRDefault="00AE78AA" w:rsidP="00AE78AA">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r w:rsidR="00AE78AA" w:rsidRPr="00227B1B" w:rsidTr="00AE78AA">
        <w:trPr>
          <w:trHeight w:val="300"/>
        </w:trPr>
        <w:tc>
          <w:tcPr>
            <w:tcW w:w="7248" w:type="dxa"/>
            <w:tcBorders>
              <w:top w:val="nil"/>
              <w:left w:val="single" w:sz="4" w:space="0" w:color="auto"/>
              <w:bottom w:val="single" w:sz="4" w:space="0" w:color="auto"/>
              <w:right w:val="single" w:sz="4" w:space="0" w:color="auto"/>
            </w:tcBorders>
            <w:shd w:val="clear" w:color="auto" w:fill="auto"/>
            <w:noWrap/>
            <w:vAlign w:val="bottom"/>
            <w:hideMark/>
          </w:tcPr>
          <w:p w:rsidR="00AE78AA" w:rsidRPr="00227B1B" w:rsidRDefault="00AE78AA" w:rsidP="00AE78AA">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Unfair competition / Uneven playing field / Informal economy</w:t>
            </w:r>
          </w:p>
        </w:tc>
        <w:tc>
          <w:tcPr>
            <w:tcW w:w="850" w:type="dxa"/>
            <w:tcBorders>
              <w:top w:val="nil"/>
              <w:left w:val="nil"/>
              <w:bottom w:val="single" w:sz="4" w:space="0" w:color="auto"/>
              <w:right w:val="single" w:sz="4" w:space="0" w:color="auto"/>
            </w:tcBorders>
            <w:shd w:val="clear" w:color="auto" w:fill="auto"/>
            <w:noWrap/>
            <w:vAlign w:val="bottom"/>
            <w:hideMark/>
          </w:tcPr>
          <w:p w:rsidR="00AE78AA" w:rsidRPr="00227B1B" w:rsidRDefault="00AE78AA" w:rsidP="00AE78AA">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r w:rsidR="00AE78AA" w:rsidRPr="00227B1B" w:rsidTr="00AE78AA">
        <w:trPr>
          <w:trHeight w:val="300"/>
        </w:trPr>
        <w:tc>
          <w:tcPr>
            <w:tcW w:w="7248" w:type="dxa"/>
            <w:tcBorders>
              <w:top w:val="nil"/>
              <w:left w:val="single" w:sz="4" w:space="0" w:color="auto"/>
              <w:bottom w:val="single" w:sz="4" w:space="0" w:color="auto"/>
              <w:right w:val="single" w:sz="4" w:space="0" w:color="auto"/>
            </w:tcBorders>
            <w:shd w:val="clear" w:color="auto" w:fill="auto"/>
            <w:noWrap/>
            <w:vAlign w:val="bottom"/>
            <w:hideMark/>
          </w:tcPr>
          <w:p w:rsidR="00AE78AA" w:rsidRPr="00227B1B" w:rsidRDefault="00AE78AA" w:rsidP="00AE78AA">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Weak professional organizations of SMEs</w:t>
            </w:r>
          </w:p>
        </w:tc>
        <w:tc>
          <w:tcPr>
            <w:tcW w:w="850" w:type="dxa"/>
            <w:tcBorders>
              <w:top w:val="nil"/>
              <w:left w:val="nil"/>
              <w:bottom w:val="single" w:sz="4" w:space="0" w:color="auto"/>
              <w:right w:val="single" w:sz="4" w:space="0" w:color="auto"/>
            </w:tcBorders>
            <w:shd w:val="clear" w:color="auto" w:fill="auto"/>
            <w:noWrap/>
            <w:vAlign w:val="bottom"/>
            <w:hideMark/>
          </w:tcPr>
          <w:p w:rsidR="00AE78AA" w:rsidRPr="00227B1B" w:rsidRDefault="00AE78AA" w:rsidP="00AE78AA">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r w:rsidR="00AE78AA" w:rsidRPr="00227B1B" w:rsidTr="00AE78AA">
        <w:trPr>
          <w:trHeight w:val="300"/>
        </w:trPr>
        <w:tc>
          <w:tcPr>
            <w:tcW w:w="7248" w:type="dxa"/>
            <w:tcBorders>
              <w:top w:val="nil"/>
              <w:left w:val="single" w:sz="4" w:space="0" w:color="auto"/>
              <w:bottom w:val="single" w:sz="4" w:space="0" w:color="auto"/>
              <w:right w:val="single" w:sz="4" w:space="0" w:color="auto"/>
            </w:tcBorders>
            <w:shd w:val="clear" w:color="auto" w:fill="auto"/>
            <w:noWrap/>
            <w:vAlign w:val="bottom"/>
            <w:hideMark/>
          </w:tcPr>
          <w:p w:rsidR="00AE78AA" w:rsidRPr="00227B1B" w:rsidRDefault="00AE78AA" w:rsidP="00AE78AA">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Weak support/lack of support by international organizations</w:t>
            </w:r>
          </w:p>
        </w:tc>
        <w:tc>
          <w:tcPr>
            <w:tcW w:w="850" w:type="dxa"/>
            <w:tcBorders>
              <w:top w:val="nil"/>
              <w:left w:val="nil"/>
              <w:bottom w:val="single" w:sz="4" w:space="0" w:color="auto"/>
              <w:right w:val="single" w:sz="4" w:space="0" w:color="auto"/>
            </w:tcBorders>
            <w:shd w:val="clear" w:color="auto" w:fill="auto"/>
            <w:noWrap/>
            <w:vAlign w:val="bottom"/>
            <w:hideMark/>
          </w:tcPr>
          <w:p w:rsidR="00AE78AA" w:rsidRPr="00227B1B" w:rsidRDefault="00AE78AA" w:rsidP="00AE78AA">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4</w:t>
            </w:r>
          </w:p>
        </w:tc>
      </w:tr>
    </w:tbl>
    <w:p w:rsidR="000076D6" w:rsidRPr="00227B1B" w:rsidRDefault="000076D6" w:rsidP="00CC77AD">
      <w:pPr>
        <w:jc w:val="both"/>
        <w:rPr>
          <w:lang w:val="en-GB"/>
        </w:rPr>
      </w:pPr>
      <w:r w:rsidRPr="00227B1B">
        <w:rPr>
          <w:lang w:val="en-GB"/>
        </w:rPr>
        <w:lastRenderedPageBreak/>
        <w:t xml:space="preserve">Finally, in the domain of financial and other issues, six questions were asked and 5 out of those 6 were considered as significant obstacles: </w:t>
      </w:r>
    </w:p>
    <w:tbl>
      <w:tblPr>
        <w:tblW w:w="7000" w:type="dxa"/>
        <w:tblInd w:w="52" w:type="dxa"/>
        <w:tblCellMar>
          <w:left w:w="70" w:type="dxa"/>
          <w:right w:w="70" w:type="dxa"/>
        </w:tblCellMar>
        <w:tblLook w:val="04A0"/>
      </w:tblPr>
      <w:tblGrid>
        <w:gridCol w:w="6040"/>
        <w:gridCol w:w="960"/>
      </w:tblGrid>
      <w:tr w:rsidR="000076D6" w:rsidRPr="00227B1B" w:rsidTr="000076D6">
        <w:trPr>
          <w:trHeight w:val="300"/>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6D6" w:rsidRPr="00227B1B" w:rsidRDefault="000076D6" w:rsidP="000076D6">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High cost of credit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76D6" w:rsidRPr="00227B1B" w:rsidRDefault="000076D6" w:rsidP="000076D6">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3,40</w:t>
            </w:r>
          </w:p>
        </w:tc>
      </w:tr>
      <w:tr w:rsidR="000076D6" w:rsidRPr="00227B1B" w:rsidTr="000076D6">
        <w:trPr>
          <w:trHeight w:val="30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rsidR="000076D6" w:rsidRPr="00227B1B" w:rsidRDefault="000076D6" w:rsidP="000076D6">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Lack of open communication channels with EU</w:t>
            </w:r>
          </w:p>
        </w:tc>
        <w:tc>
          <w:tcPr>
            <w:tcW w:w="960" w:type="dxa"/>
            <w:tcBorders>
              <w:top w:val="nil"/>
              <w:left w:val="nil"/>
              <w:bottom w:val="single" w:sz="4" w:space="0" w:color="auto"/>
              <w:right w:val="single" w:sz="4" w:space="0" w:color="auto"/>
            </w:tcBorders>
            <w:shd w:val="clear" w:color="auto" w:fill="auto"/>
            <w:noWrap/>
            <w:vAlign w:val="bottom"/>
            <w:hideMark/>
          </w:tcPr>
          <w:p w:rsidR="000076D6" w:rsidRPr="00227B1B" w:rsidRDefault="000076D6" w:rsidP="000076D6">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3,40</w:t>
            </w:r>
          </w:p>
        </w:tc>
      </w:tr>
      <w:tr w:rsidR="000076D6" w:rsidRPr="00227B1B" w:rsidTr="000076D6">
        <w:trPr>
          <w:trHeight w:val="30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rsidR="000076D6" w:rsidRPr="00227B1B" w:rsidRDefault="000076D6" w:rsidP="000076D6">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Difficulties in accessing financial services</w:t>
            </w:r>
          </w:p>
        </w:tc>
        <w:tc>
          <w:tcPr>
            <w:tcW w:w="960" w:type="dxa"/>
            <w:tcBorders>
              <w:top w:val="nil"/>
              <w:left w:val="nil"/>
              <w:bottom w:val="single" w:sz="4" w:space="0" w:color="auto"/>
              <w:right w:val="single" w:sz="4" w:space="0" w:color="auto"/>
            </w:tcBorders>
            <w:shd w:val="clear" w:color="auto" w:fill="auto"/>
            <w:noWrap/>
            <w:vAlign w:val="bottom"/>
            <w:hideMark/>
          </w:tcPr>
          <w:p w:rsidR="000076D6" w:rsidRPr="00227B1B" w:rsidRDefault="000076D6" w:rsidP="000076D6">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3,20</w:t>
            </w:r>
          </w:p>
        </w:tc>
      </w:tr>
      <w:tr w:rsidR="000076D6" w:rsidRPr="00227B1B" w:rsidTr="000076D6">
        <w:trPr>
          <w:trHeight w:val="30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rsidR="000076D6" w:rsidRPr="00227B1B" w:rsidRDefault="000076D6" w:rsidP="000076D6">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Inappropriate infrastructure</w:t>
            </w:r>
          </w:p>
        </w:tc>
        <w:tc>
          <w:tcPr>
            <w:tcW w:w="960" w:type="dxa"/>
            <w:tcBorders>
              <w:top w:val="nil"/>
              <w:left w:val="nil"/>
              <w:bottom w:val="single" w:sz="4" w:space="0" w:color="auto"/>
              <w:right w:val="single" w:sz="4" w:space="0" w:color="auto"/>
            </w:tcBorders>
            <w:shd w:val="clear" w:color="auto" w:fill="auto"/>
            <w:noWrap/>
            <w:vAlign w:val="bottom"/>
            <w:hideMark/>
          </w:tcPr>
          <w:p w:rsidR="000076D6" w:rsidRPr="00227B1B" w:rsidRDefault="000076D6" w:rsidP="000076D6">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3,18</w:t>
            </w:r>
          </w:p>
        </w:tc>
      </w:tr>
      <w:tr w:rsidR="000076D6" w:rsidRPr="00227B1B" w:rsidTr="000076D6">
        <w:trPr>
          <w:trHeight w:val="30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rsidR="000076D6" w:rsidRPr="00227B1B" w:rsidRDefault="000076D6" w:rsidP="000076D6">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Weak professional organizations of SMEs</w:t>
            </w:r>
          </w:p>
        </w:tc>
        <w:tc>
          <w:tcPr>
            <w:tcW w:w="960" w:type="dxa"/>
            <w:tcBorders>
              <w:top w:val="nil"/>
              <w:left w:val="nil"/>
              <w:bottom w:val="single" w:sz="4" w:space="0" w:color="auto"/>
              <w:right w:val="single" w:sz="4" w:space="0" w:color="auto"/>
            </w:tcBorders>
            <w:shd w:val="clear" w:color="auto" w:fill="auto"/>
            <w:noWrap/>
            <w:vAlign w:val="bottom"/>
            <w:hideMark/>
          </w:tcPr>
          <w:p w:rsidR="000076D6" w:rsidRPr="00227B1B" w:rsidRDefault="000076D6" w:rsidP="000076D6">
            <w:pPr>
              <w:spacing w:after="0" w:line="240" w:lineRule="auto"/>
              <w:jc w:val="right"/>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3,09</w:t>
            </w:r>
          </w:p>
        </w:tc>
      </w:tr>
    </w:tbl>
    <w:p w:rsidR="000076D6" w:rsidRPr="00227B1B" w:rsidRDefault="000076D6" w:rsidP="00CC77AD">
      <w:pPr>
        <w:jc w:val="both"/>
        <w:rPr>
          <w:lang w:val="en-GB"/>
        </w:rPr>
      </w:pPr>
    </w:p>
    <w:p w:rsidR="00AE78AA" w:rsidRPr="00227B1B" w:rsidRDefault="000076D6" w:rsidP="00CC77AD">
      <w:pPr>
        <w:jc w:val="both"/>
        <w:rPr>
          <w:lang w:val="en-GB"/>
        </w:rPr>
      </w:pPr>
      <w:r w:rsidRPr="00227B1B">
        <w:rPr>
          <w:lang w:val="en-GB"/>
        </w:rPr>
        <w:t xml:space="preserve">The only topic that received a low mark was “Difficult access to internet / Lack or low quality of business websites”, which clearly indicates the relatively high level of ICT diffusion and use in the country, also supported by other sources. </w:t>
      </w:r>
    </w:p>
    <w:p w:rsidR="000076D6" w:rsidRPr="00227B1B" w:rsidRDefault="000076D6" w:rsidP="00CC77AD">
      <w:pPr>
        <w:jc w:val="both"/>
        <w:rPr>
          <w:lang w:val="en-GB"/>
        </w:rPr>
      </w:pPr>
      <w:r w:rsidRPr="00227B1B">
        <w:rPr>
          <w:lang w:val="en-GB"/>
        </w:rPr>
        <w:t xml:space="preserve">While all these 5 topics were seen as important, only one - Lack of open communication channels with EU – was indicated as an area where V4-GMU support could be useful. </w:t>
      </w:r>
    </w:p>
    <w:p w:rsidR="000076D6" w:rsidRDefault="000076D6" w:rsidP="00CC77AD">
      <w:pPr>
        <w:jc w:val="both"/>
        <w:rPr>
          <w:lang w:val="en-GB"/>
        </w:rPr>
      </w:pPr>
    </w:p>
    <w:p w:rsidR="00F21901" w:rsidRPr="00227B1B" w:rsidRDefault="00F21901" w:rsidP="00CC77AD">
      <w:pPr>
        <w:jc w:val="both"/>
        <w:rPr>
          <w:lang w:val="en-GB"/>
        </w:rPr>
      </w:pPr>
    </w:p>
    <w:p w:rsidR="000076D6" w:rsidRPr="00227B1B" w:rsidRDefault="000076D6" w:rsidP="00CC77AD">
      <w:pPr>
        <w:jc w:val="both"/>
        <w:rPr>
          <w:lang w:val="en-GB"/>
        </w:rPr>
      </w:pPr>
      <w:r w:rsidRPr="00227B1B">
        <w:rPr>
          <w:lang w:val="en-GB"/>
        </w:rPr>
        <w:t xml:space="preserve">In the second part of the survey, </w:t>
      </w:r>
      <w:r w:rsidR="00FF718F" w:rsidRPr="00227B1B">
        <w:rPr>
          <w:lang w:val="en-GB"/>
        </w:rPr>
        <w:t>responde</w:t>
      </w:r>
      <w:r w:rsidR="00222F0F" w:rsidRPr="00227B1B">
        <w:rPr>
          <w:lang w:val="en-GB"/>
        </w:rPr>
        <w:t xml:space="preserve">nts were asked which sectors they consider as the most important ones regarding international transfer of knowledge and support activities. </w:t>
      </w:r>
    </w:p>
    <w:p w:rsidR="00A36559" w:rsidRPr="00227B1B" w:rsidRDefault="00A36559" w:rsidP="00CC77AD">
      <w:pPr>
        <w:jc w:val="both"/>
        <w:rPr>
          <w:lang w:val="en-GB"/>
        </w:rPr>
      </w:pPr>
      <w:r w:rsidRPr="00227B1B">
        <w:rPr>
          <w:lang w:val="en-GB"/>
        </w:rPr>
        <w:t>The most responses</w:t>
      </w:r>
      <w:r w:rsidR="00B757D4" w:rsidRPr="00227B1B">
        <w:rPr>
          <w:lang w:val="en-GB"/>
        </w:rPr>
        <w:t xml:space="preserve"> (10)</w:t>
      </w:r>
      <w:r w:rsidRPr="00227B1B">
        <w:rPr>
          <w:lang w:val="en-GB"/>
        </w:rPr>
        <w:t xml:space="preserve"> arrived to the domains of agriculture, including sustainable agriculture and the food and beverages industry. The wine industry has been mentioned as of specific importance.</w:t>
      </w:r>
    </w:p>
    <w:tbl>
      <w:tblPr>
        <w:tblW w:w="9090" w:type="dxa"/>
        <w:tblInd w:w="52" w:type="dxa"/>
        <w:tblCellMar>
          <w:left w:w="70" w:type="dxa"/>
          <w:right w:w="70" w:type="dxa"/>
        </w:tblCellMar>
        <w:tblLook w:val="04A0"/>
      </w:tblPr>
      <w:tblGrid>
        <w:gridCol w:w="422"/>
        <w:gridCol w:w="2290"/>
        <w:gridCol w:w="6378"/>
      </w:tblGrid>
      <w:tr w:rsidR="00B757D4" w:rsidRPr="00227B1B" w:rsidTr="00B757D4">
        <w:trPr>
          <w:trHeight w:val="630"/>
        </w:trPr>
        <w:tc>
          <w:tcPr>
            <w:tcW w:w="42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757D4" w:rsidRPr="00227B1B" w:rsidRDefault="00B757D4" w:rsidP="00B757D4">
            <w:pPr>
              <w:spacing w:after="0" w:line="240" w:lineRule="auto"/>
              <w:jc w:val="center"/>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Agriculture, wine, food industry</w:t>
            </w:r>
          </w:p>
        </w:tc>
        <w:tc>
          <w:tcPr>
            <w:tcW w:w="2290" w:type="dxa"/>
            <w:tcBorders>
              <w:top w:val="single" w:sz="4" w:space="0" w:color="auto"/>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Agriculture</w:t>
            </w:r>
          </w:p>
        </w:tc>
        <w:tc>
          <w:tcPr>
            <w:tcW w:w="6378" w:type="dxa"/>
            <w:tcBorders>
              <w:top w:val="single" w:sz="4" w:space="0" w:color="auto"/>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Moldova is an agricultural country –therefore the need of new techniques, methods, studies, assistance and so on.</w:t>
            </w:r>
          </w:p>
        </w:tc>
      </w:tr>
      <w:tr w:rsidR="00B757D4" w:rsidRPr="00227B1B" w:rsidTr="00B757D4">
        <w:trPr>
          <w:trHeight w:val="315"/>
        </w:trPr>
        <w:tc>
          <w:tcPr>
            <w:tcW w:w="422" w:type="dxa"/>
            <w:vMerge/>
            <w:tcBorders>
              <w:top w:val="single" w:sz="4" w:space="0" w:color="auto"/>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Agriculture</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r>
      <w:tr w:rsidR="00B757D4" w:rsidRPr="00227B1B" w:rsidTr="00B757D4">
        <w:trPr>
          <w:trHeight w:val="315"/>
        </w:trPr>
        <w:tc>
          <w:tcPr>
            <w:tcW w:w="422" w:type="dxa"/>
            <w:vMerge/>
            <w:tcBorders>
              <w:top w:val="single" w:sz="4" w:space="0" w:color="auto"/>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Sustainable agriculture</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Especially the organic one</w:t>
            </w:r>
          </w:p>
        </w:tc>
      </w:tr>
      <w:tr w:rsidR="00B757D4" w:rsidRPr="00227B1B" w:rsidTr="00B757D4">
        <w:trPr>
          <w:trHeight w:val="945"/>
        </w:trPr>
        <w:tc>
          <w:tcPr>
            <w:tcW w:w="422" w:type="dxa"/>
            <w:vMerge/>
            <w:tcBorders>
              <w:top w:val="single" w:sz="4" w:space="0" w:color="auto"/>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Agriculture</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jc w:val="both"/>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The SMEs in the agricultural sector face the highest number of challenges regarding the access to funding, predominantly high risks, the small sales market, difficulties entering the foreign markets and so on.</w:t>
            </w:r>
          </w:p>
        </w:tc>
      </w:tr>
      <w:tr w:rsidR="00B757D4" w:rsidRPr="00227B1B" w:rsidTr="00B757D4">
        <w:trPr>
          <w:trHeight w:val="1260"/>
        </w:trPr>
        <w:tc>
          <w:tcPr>
            <w:tcW w:w="422" w:type="dxa"/>
            <w:vMerge/>
            <w:tcBorders>
              <w:top w:val="single" w:sz="4" w:space="0" w:color="auto"/>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xml:space="preserve">Agriculture, particularly high value added, that would include the wine industry as well. </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Moldova would have a significant potential in this</w:t>
            </w:r>
            <w:r w:rsidR="00FF718F" w:rsidRPr="00227B1B">
              <w:rPr>
                <w:rFonts w:ascii="Calibri" w:eastAsia="Times New Roman" w:hAnsi="Calibri" w:cs="Times New Roman"/>
                <w:color w:val="000000"/>
                <w:lang w:val="en-GB" w:eastAsia="hu-HU"/>
              </w:rPr>
              <w:t xml:space="preserve"> </w:t>
            </w:r>
            <w:r w:rsidRPr="00227B1B">
              <w:rPr>
                <w:rFonts w:ascii="Calibri" w:eastAsia="Times New Roman" w:hAnsi="Calibri" w:cs="Times New Roman"/>
                <w:color w:val="000000"/>
                <w:lang w:val="en-GB" w:eastAsia="hu-HU"/>
              </w:rPr>
              <w:t>field</w:t>
            </w:r>
            <w:r w:rsidR="00FF718F" w:rsidRPr="00227B1B">
              <w:rPr>
                <w:rFonts w:ascii="Calibri" w:eastAsia="Times New Roman" w:hAnsi="Calibri" w:cs="Times New Roman"/>
                <w:color w:val="000000"/>
                <w:lang w:val="en-GB" w:eastAsia="hu-HU"/>
              </w:rPr>
              <w:t xml:space="preserve"> </w:t>
            </w:r>
            <w:r w:rsidRPr="00227B1B">
              <w:rPr>
                <w:rFonts w:ascii="Calibri" w:eastAsia="Times New Roman" w:hAnsi="Calibri" w:cs="Times New Roman"/>
                <w:color w:val="000000"/>
                <w:lang w:val="en-GB" w:eastAsia="hu-HU"/>
              </w:rPr>
              <w:t xml:space="preserve">if it received </w:t>
            </w:r>
            <w:r w:rsidR="00FF718F" w:rsidRPr="00227B1B">
              <w:rPr>
                <w:rFonts w:ascii="Calibri" w:eastAsia="Times New Roman" w:hAnsi="Calibri" w:cs="Times New Roman"/>
                <w:color w:val="000000"/>
                <w:lang w:val="en-GB" w:eastAsia="hu-HU"/>
              </w:rPr>
              <w:t>qualified assista</w:t>
            </w:r>
            <w:r w:rsidRPr="00227B1B">
              <w:rPr>
                <w:rFonts w:ascii="Calibri" w:eastAsia="Times New Roman" w:hAnsi="Calibri" w:cs="Times New Roman"/>
                <w:color w:val="000000"/>
                <w:lang w:val="en-GB" w:eastAsia="hu-HU"/>
              </w:rPr>
              <w:t>nce.</w:t>
            </w:r>
          </w:p>
        </w:tc>
      </w:tr>
      <w:tr w:rsidR="00B757D4" w:rsidRPr="00227B1B" w:rsidTr="00B757D4">
        <w:trPr>
          <w:trHeight w:val="300"/>
        </w:trPr>
        <w:tc>
          <w:tcPr>
            <w:tcW w:w="422" w:type="dxa"/>
            <w:vMerge/>
            <w:tcBorders>
              <w:top w:val="single" w:sz="4" w:space="0" w:color="auto"/>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Agriculture (winemaking)</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Moldova is an agricultural republic. Vineyards and orchards processing, plant (crop) growing and so on.</w:t>
            </w:r>
          </w:p>
        </w:tc>
      </w:tr>
      <w:tr w:rsidR="00B757D4" w:rsidRPr="00227B1B" w:rsidTr="00B757D4">
        <w:trPr>
          <w:trHeight w:val="630"/>
        </w:trPr>
        <w:tc>
          <w:tcPr>
            <w:tcW w:w="422" w:type="dxa"/>
            <w:vMerge/>
            <w:tcBorders>
              <w:top w:val="single" w:sz="4" w:space="0" w:color="auto"/>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Bread making and bakery products</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Performance equipment, cut spending, increasing productivity and product quality.</w:t>
            </w:r>
          </w:p>
        </w:tc>
      </w:tr>
      <w:tr w:rsidR="00B757D4" w:rsidRPr="00227B1B" w:rsidTr="00B757D4">
        <w:trPr>
          <w:trHeight w:val="315"/>
        </w:trPr>
        <w:tc>
          <w:tcPr>
            <w:tcW w:w="422" w:type="dxa"/>
            <w:vMerge/>
            <w:tcBorders>
              <w:top w:val="single" w:sz="4" w:space="0" w:color="auto"/>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Food processing</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r>
      <w:tr w:rsidR="00B757D4" w:rsidRPr="00227B1B" w:rsidTr="00FF718F">
        <w:trPr>
          <w:trHeight w:val="286"/>
        </w:trPr>
        <w:tc>
          <w:tcPr>
            <w:tcW w:w="422" w:type="dxa"/>
            <w:vMerge/>
            <w:tcBorders>
              <w:top w:val="single" w:sz="4" w:space="0" w:color="auto"/>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FF718F">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Food processing</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FF718F"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Especially of the organic products</w:t>
            </w:r>
          </w:p>
        </w:tc>
      </w:tr>
      <w:tr w:rsidR="00B757D4" w:rsidRPr="00227B1B" w:rsidTr="00B757D4">
        <w:trPr>
          <w:trHeight w:val="630"/>
        </w:trPr>
        <w:tc>
          <w:tcPr>
            <w:tcW w:w="422" w:type="dxa"/>
            <w:vMerge/>
            <w:tcBorders>
              <w:top w:val="single" w:sz="4" w:space="0" w:color="auto"/>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Industrial: especially the food industry</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r>
      <w:tr w:rsidR="00B757D4" w:rsidRPr="00227B1B" w:rsidTr="00B757D4">
        <w:trPr>
          <w:trHeight w:val="630"/>
        </w:trPr>
        <w:tc>
          <w:tcPr>
            <w:tcW w:w="42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757D4" w:rsidRPr="00227B1B" w:rsidRDefault="00B757D4" w:rsidP="00B757D4">
            <w:pPr>
              <w:spacing w:after="0" w:line="240" w:lineRule="auto"/>
              <w:jc w:val="center"/>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lastRenderedPageBreak/>
              <w:t>Tourism</w:t>
            </w: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Tourism</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It can be observed there is a lack of studies, methods and so on, that could lead to a growth in the number of tourists in Moldova.</w:t>
            </w:r>
          </w:p>
        </w:tc>
      </w:tr>
      <w:tr w:rsidR="00B757D4" w:rsidRPr="00227B1B" w:rsidTr="00B757D4">
        <w:trPr>
          <w:trHeight w:val="630"/>
        </w:trPr>
        <w:tc>
          <w:tcPr>
            <w:tcW w:w="422" w:type="dxa"/>
            <w:vMerge/>
            <w:tcBorders>
              <w:top w:val="nil"/>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Rural development, especially tourism.</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In Moldova the rural area has very strong traditions and it needs qualified assistance, not only in the field of agriculture.</w:t>
            </w:r>
          </w:p>
        </w:tc>
      </w:tr>
      <w:tr w:rsidR="00B757D4" w:rsidRPr="00227B1B" w:rsidTr="00B757D4">
        <w:trPr>
          <w:trHeight w:val="315"/>
        </w:trPr>
        <w:tc>
          <w:tcPr>
            <w:tcW w:w="422" w:type="dxa"/>
            <w:vMerge/>
            <w:tcBorders>
              <w:top w:val="nil"/>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Tourism</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jc w:val="both"/>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Poorly developed sector in Moldova</w:t>
            </w:r>
          </w:p>
        </w:tc>
      </w:tr>
      <w:tr w:rsidR="00B757D4" w:rsidRPr="00227B1B" w:rsidTr="00B757D4">
        <w:trPr>
          <w:trHeight w:val="315"/>
        </w:trPr>
        <w:tc>
          <w:tcPr>
            <w:tcW w:w="422" w:type="dxa"/>
            <w:vMerge/>
            <w:tcBorders>
              <w:top w:val="nil"/>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Rural tourism</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r>
      <w:tr w:rsidR="00B757D4" w:rsidRPr="00227B1B" w:rsidTr="00B757D4">
        <w:trPr>
          <w:trHeight w:val="315"/>
        </w:trPr>
        <w:tc>
          <w:tcPr>
            <w:tcW w:w="42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757D4" w:rsidRPr="00227B1B" w:rsidRDefault="00B757D4" w:rsidP="00B757D4">
            <w:pPr>
              <w:spacing w:after="0" w:line="240" w:lineRule="auto"/>
              <w:jc w:val="center"/>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Textile</w:t>
            </w: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Textil</w:t>
            </w:r>
            <w:r w:rsidR="00FF718F" w:rsidRPr="00227B1B">
              <w:rPr>
                <w:rFonts w:ascii="Calibri" w:eastAsia="Times New Roman" w:hAnsi="Calibri" w:cs="Times New Roman"/>
                <w:color w:val="000000"/>
                <w:lang w:val="en-GB" w:eastAsia="hu-HU"/>
              </w:rPr>
              <w:t>e</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Sector with growth potential.</w:t>
            </w:r>
          </w:p>
        </w:tc>
      </w:tr>
      <w:tr w:rsidR="00B757D4" w:rsidRPr="00227B1B" w:rsidTr="00B757D4">
        <w:trPr>
          <w:trHeight w:val="630"/>
        </w:trPr>
        <w:tc>
          <w:tcPr>
            <w:tcW w:w="422" w:type="dxa"/>
            <w:vMerge/>
            <w:tcBorders>
              <w:top w:val="nil"/>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Garment, textile, footwear industry</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xml:space="preserve">Industries with a rich history and a very high potential </w:t>
            </w:r>
          </w:p>
        </w:tc>
      </w:tr>
      <w:tr w:rsidR="00B757D4" w:rsidRPr="00227B1B" w:rsidTr="00B757D4">
        <w:trPr>
          <w:trHeight w:val="630"/>
        </w:trPr>
        <w:tc>
          <w:tcPr>
            <w:tcW w:w="422" w:type="dxa"/>
            <w:vMerge/>
            <w:tcBorders>
              <w:top w:val="nil"/>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Textile industry (clothing and footwear)</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Performance equipment, cut spending, improved productivity, production quality and export.</w:t>
            </w:r>
          </w:p>
        </w:tc>
      </w:tr>
      <w:tr w:rsidR="00B757D4" w:rsidRPr="00227B1B" w:rsidTr="00B757D4">
        <w:trPr>
          <w:trHeight w:val="630"/>
        </w:trPr>
        <w:tc>
          <w:tcPr>
            <w:tcW w:w="42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757D4" w:rsidRPr="00227B1B" w:rsidRDefault="00B757D4" w:rsidP="00B757D4">
            <w:pPr>
              <w:spacing w:after="0" w:line="240" w:lineRule="auto"/>
              <w:jc w:val="center"/>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Energy</w:t>
            </w: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Power (energy) industry</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EE and ER, cut spending, new  equipment, increased productivity, reducing the energy consumption</w:t>
            </w:r>
          </w:p>
        </w:tc>
      </w:tr>
      <w:tr w:rsidR="00B757D4" w:rsidRPr="00227B1B" w:rsidTr="00B757D4">
        <w:trPr>
          <w:trHeight w:val="315"/>
        </w:trPr>
        <w:tc>
          <w:tcPr>
            <w:tcW w:w="422" w:type="dxa"/>
            <w:vMerge/>
            <w:tcBorders>
              <w:top w:val="nil"/>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The energy sector</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jc w:val="both"/>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Limited competition, small sales market, high investment cost and so on.</w:t>
            </w:r>
          </w:p>
        </w:tc>
      </w:tr>
      <w:tr w:rsidR="00B757D4" w:rsidRPr="00227B1B" w:rsidTr="00B757D4">
        <w:trPr>
          <w:trHeight w:val="630"/>
        </w:trPr>
        <w:tc>
          <w:tcPr>
            <w:tcW w:w="422" w:type="dxa"/>
            <w:vMerge/>
            <w:tcBorders>
              <w:top w:val="nil"/>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Lifestyle</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FF718F"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New sector of the Moldov</w:t>
            </w:r>
            <w:r w:rsidR="00B757D4" w:rsidRPr="00227B1B">
              <w:rPr>
                <w:rFonts w:ascii="Calibri" w:eastAsia="Times New Roman" w:hAnsi="Calibri" w:cs="Times New Roman"/>
                <w:color w:val="000000"/>
                <w:lang w:val="en-GB" w:eastAsia="hu-HU"/>
              </w:rPr>
              <w:t>an economy that requires studies, research and so on.</w:t>
            </w:r>
          </w:p>
        </w:tc>
      </w:tr>
      <w:tr w:rsidR="00B757D4" w:rsidRPr="00227B1B" w:rsidTr="00B757D4">
        <w:trPr>
          <w:trHeight w:val="315"/>
        </w:trPr>
        <w:tc>
          <w:tcPr>
            <w:tcW w:w="42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757D4" w:rsidRPr="00227B1B" w:rsidRDefault="00B757D4" w:rsidP="00B757D4">
            <w:pPr>
              <w:spacing w:after="0" w:line="240" w:lineRule="auto"/>
              <w:jc w:val="center"/>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Other</w:t>
            </w: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Commerce</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r>
      <w:tr w:rsidR="00B757D4" w:rsidRPr="00227B1B" w:rsidTr="00B757D4">
        <w:trPr>
          <w:trHeight w:val="315"/>
        </w:trPr>
        <w:tc>
          <w:tcPr>
            <w:tcW w:w="422" w:type="dxa"/>
            <w:vMerge/>
            <w:tcBorders>
              <w:top w:val="nil"/>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ICT</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FF718F">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Currently the most dynamic sector and with enormous potential.</w:t>
            </w:r>
          </w:p>
        </w:tc>
      </w:tr>
      <w:tr w:rsidR="00B757D4" w:rsidRPr="00227B1B" w:rsidTr="00B757D4">
        <w:trPr>
          <w:trHeight w:val="630"/>
        </w:trPr>
        <w:tc>
          <w:tcPr>
            <w:tcW w:w="422" w:type="dxa"/>
            <w:vMerge/>
            <w:tcBorders>
              <w:top w:val="nil"/>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Trade, transport and construction</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Sectors that proved they have a say in connection to the GDP</w:t>
            </w:r>
          </w:p>
        </w:tc>
      </w:tr>
      <w:tr w:rsidR="00B757D4" w:rsidRPr="00227B1B" w:rsidTr="00B757D4">
        <w:trPr>
          <w:trHeight w:val="945"/>
        </w:trPr>
        <w:tc>
          <w:tcPr>
            <w:tcW w:w="422" w:type="dxa"/>
            <w:vMerge/>
            <w:tcBorders>
              <w:top w:val="nil"/>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Other sectors such as the engineering industry,</w:t>
            </w:r>
            <w:r w:rsidR="00FF718F" w:rsidRPr="00227B1B">
              <w:rPr>
                <w:rFonts w:ascii="Calibri" w:eastAsia="Times New Roman" w:hAnsi="Calibri" w:cs="Times New Roman"/>
                <w:color w:val="000000"/>
                <w:lang w:val="en-GB" w:eastAsia="hu-HU"/>
              </w:rPr>
              <w:t xml:space="preserve"> </w:t>
            </w:r>
            <w:r w:rsidRPr="00227B1B">
              <w:rPr>
                <w:rFonts w:ascii="Calibri" w:eastAsia="Times New Roman" w:hAnsi="Calibri" w:cs="Times New Roman"/>
                <w:color w:val="000000"/>
                <w:lang w:val="en-GB" w:eastAsia="hu-HU"/>
              </w:rPr>
              <w:t>the furniture industry and so on</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Also, sectors with a high potential which proved that, if the necessary conditions were created, they have the right to exist in Moldova as well.</w:t>
            </w:r>
          </w:p>
        </w:tc>
      </w:tr>
      <w:tr w:rsidR="00B757D4" w:rsidRPr="00227B1B" w:rsidTr="00B757D4">
        <w:trPr>
          <w:trHeight w:val="945"/>
        </w:trPr>
        <w:tc>
          <w:tcPr>
            <w:tcW w:w="422" w:type="dxa"/>
            <w:vMerge/>
            <w:tcBorders>
              <w:top w:val="nil"/>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The manufacturing industry</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jc w:val="both"/>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The lack of processing technologies according to international standards, the high investment cost, the small sales market, difficulties entering the foreign markets and so on.</w:t>
            </w:r>
          </w:p>
        </w:tc>
      </w:tr>
      <w:tr w:rsidR="00B757D4" w:rsidRPr="00227B1B" w:rsidTr="00B757D4">
        <w:trPr>
          <w:trHeight w:val="315"/>
        </w:trPr>
        <w:tc>
          <w:tcPr>
            <w:tcW w:w="42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757D4" w:rsidRPr="00227B1B" w:rsidRDefault="00B757D4" w:rsidP="00B757D4">
            <w:pPr>
              <w:spacing w:after="0" w:line="240" w:lineRule="auto"/>
              <w:jc w:val="center"/>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S</w:t>
            </w: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Business associations</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Capacity building, management , corporate governance</w:t>
            </w:r>
          </w:p>
        </w:tc>
      </w:tr>
      <w:tr w:rsidR="00B757D4" w:rsidRPr="00227B1B" w:rsidTr="00B757D4">
        <w:trPr>
          <w:trHeight w:val="315"/>
        </w:trPr>
        <w:tc>
          <w:tcPr>
            <w:tcW w:w="422" w:type="dxa"/>
            <w:vMerge/>
            <w:tcBorders>
              <w:top w:val="nil"/>
              <w:left w:val="single" w:sz="4" w:space="0" w:color="auto"/>
              <w:bottom w:val="single" w:sz="4" w:space="0" w:color="000000"/>
              <w:right w:val="single" w:sz="4" w:space="0" w:color="auto"/>
            </w:tcBorders>
            <w:vAlign w:val="center"/>
            <w:hideMark/>
          </w:tcPr>
          <w:p w:rsidR="00B757D4" w:rsidRPr="00227B1B" w:rsidRDefault="00B757D4" w:rsidP="00B757D4">
            <w:pPr>
              <w:spacing w:after="0" w:line="240" w:lineRule="auto"/>
              <w:rPr>
                <w:rFonts w:ascii="Calibri" w:eastAsia="Times New Roman" w:hAnsi="Calibri" w:cs="Times New Roman"/>
                <w:color w:val="000000"/>
                <w:lang w:val="en-GB" w:eastAsia="hu-HU"/>
              </w:rPr>
            </w:pPr>
          </w:p>
        </w:tc>
        <w:tc>
          <w:tcPr>
            <w:tcW w:w="2290"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Consultancy services</w:t>
            </w:r>
          </w:p>
        </w:tc>
        <w:tc>
          <w:tcPr>
            <w:tcW w:w="6378" w:type="dxa"/>
            <w:tcBorders>
              <w:top w:val="nil"/>
              <w:left w:val="nil"/>
              <w:bottom w:val="single" w:sz="4" w:space="0" w:color="auto"/>
              <w:right w:val="single" w:sz="4" w:space="0" w:color="auto"/>
            </w:tcBorders>
            <w:shd w:val="clear" w:color="auto" w:fill="auto"/>
            <w:hideMark/>
          </w:tcPr>
          <w:p w:rsidR="00B757D4" w:rsidRPr="00227B1B" w:rsidRDefault="00B757D4" w:rsidP="00B757D4">
            <w:pPr>
              <w:spacing w:after="0" w:line="240" w:lineRule="auto"/>
              <w:rPr>
                <w:rFonts w:ascii="Calibri" w:eastAsia="Times New Roman" w:hAnsi="Calibri" w:cs="Times New Roman"/>
                <w:color w:val="000000"/>
                <w:lang w:val="en-GB" w:eastAsia="hu-HU"/>
              </w:rPr>
            </w:pPr>
            <w:r w:rsidRPr="00227B1B">
              <w:rPr>
                <w:rFonts w:ascii="Calibri" w:eastAsia="Times New Roman" w:hAnsi="Calibri" w:cs="Times New Roman"/>
                <w:color w:val="000000"/>
                <w:lang w:val="en-GB" w:eastAsia="hu-HU"/>
              </w:rPr>
              <w:t> </w:t>
            </w:r>
          </w:p>
        </w:tc>
      </w:tr>
    </w:tbl>
    <w:p w:rsidR="00946982" w:rsidRPr="00227B1B" w:rsidRDefault="00946982" w:rsidP="00CC77AD">
      <w:pPr>
        <w:jc w:val="both"/>
        <w:rPr>
          <w:lang w:val="en-GB"/>
        </w:rPr>
      </w:pPr>
    </w:p>
    <w:p w:rsidR="00B757D4" w:rsidRPr="00227B1B" w:rsidRDefault="00B757D4" w:rsidP="00CC77AD">
      <w:pPr>
        <w:jc w:val="both"/>
        <w:rPr>
          <w:lang w:val="en-GB"/>
        </w:rPr>
      </w:pPr>
      <w:r w:rsidRPr="00227B1B">
        <w:rPr>
          <w:lang w:val="en-GB"/>
        </w:rPr>
        <w:t>The tourism sector h</w:t>
      </w:r>
      <w:r w:rsidR="00F21901">
        <w:rPr>
          <w:lang w:val="en-GB"/>
        </w:rPr>
        <w:t>as been mentioned on 4 occasions</w:t>
      </w:r>
      <w:r w:rsidRPr="00227B1B">
        <w:rPr>
          <w:lang w:val="en-GB"/>
        </w:rPr>
        <w:t xml:space="preserve"> while the </w:t>
      </w:r>
      <w:r w:rsidR="007E23FA" w:rsidRPr="00227B1B">
        <w:rPr>
          <w:lang w:val="en-GB"/>
        </w:rPr>
        <w:t xml:space="preserve">textile and the energy sectors on 3. Important to note that among other sectors, the support and capacity building of business associations and development of consultancy services have also been mentioned. </w:t>
      </w:r>
    </w:p>
    <w:p w:rsidR="00FF6E68" w:rsidRPr="00227B1B" w:rsidRDefault="00FF6E68" w:rsidP="00CC77AD">
      <w:pPr>
        <w:jc w:val="both"/>
        <w:rPr>
          <w:lang w:val="en-GB"/>
        </w:rPr>
      </w:pPr>
    </w:p>
    <w:p w:rsidR="00FF6E68" w:rsidRPr="00227B1B" w:rsidRDefault="00FF6E68" w:rsidP="00CC77AD">
      <w:pPr>
        <w:jc w:val="both"/>
        <w:rPr>
          <w:lang w:val="en-GB"/>
        </w:rPr>
      </w:pPr>
      <w:r w:rsidRPr="00227B1B">
        <w:rPr>
          <w:lang w:val="en-GB"/>
        </w:rPr>
        <w:t xml:space="preserve">Finally, in the third part of the survey, respondents were asked to provide any further suggestions they considered as relevant for the V4-GMU project. The following areas were mentioned where an exchange of experiences, knowledge transfer may support the Moldovan SMEs: </w:t>
      </w:r>
    </w:p>
    <w:p w:rsidR="00FF6E68" w:rsidRPr="00227B1B" w:rsidRDefault="00FF6E68" w:rsidP="00CC77AD">
      <w:pPr>
        <w:jc w:val="both"/>
        <w:rPr>
          <w:lang w:val="en-GB"/>
        </w:rPr>
      </w:pPr>
    </w:p>
    <w:p w:rsidR="00FF6E68" w:rsidRPr="00227B1B" w:rsidRDefault="00FF6E68" w:rsidP="00CC77AD">
      <w:pPr>
        <w:jc w:val="both"/>
        <w:rPr>
          <w:lang w:val="en-GB"/>
        </w:rPr>
      </w:pPr>
    </w:p>
    <w:tbl>
      <w:tblPr>
        <w:tblW w:w="9090" w:type="dxa"/>
        <w:tblInd w:w="52" w:type="dxa"/>
        <w:tblCellMar>
          <w:left w:w="70" w:type="dxa"/>
          <w:right w:w="70" w:type="dxa"/>
        </w:tblCellMar>
        <w:tblLook w:val="04A0"/>
      </w:tblPr>
      <w:tblGrid>
        <w:gridCol w:w="9090"/>
      </w:tblGrid>
      <w:tr w:rsidR="00FF6E68" w:rsidRPr="00FF6E68" w:rsidTr="00FF6E68">
        <w:trPr>
          <w:trHeight w:val="397"/>
        </w:trPr>
        <w:tc>
          <w:tcPr>
            <w:tcW w:w="9090" w:type="dxa"/>
            <w:tcBorders>
              <w:top w:val="nil"/>
              <w:left w:val="single" w:sz="4" w:space="0" w:color="auto"/>
              <w:bottom w:val="single" w:sz="4" w:space="0" w:color="auto"/>
              <w:right w:val="single" w:sz="4" w:space="0" w:color="auto"/>
            </w:tcBorders>
            <w:shd w:val="clear" w:color="auto" w:fill="auto"/>
            <w:hideMark/>
          </w:tcPr>
          <w:p w:rsidR="00FF6E68" w:rsidRPr="00FF6E68" w:rsidRDefault="00C204E7" w:rsidP="00FF6E68">
            <w:pPr>
              <w:spacing w:after="0" w:line="240" w:lineRule="auto"/>
              <w:rPr>
                <w:rFonts w:ascii="Calibri" w:eastAsia="Times New Roman" w:hAnsi="Calibri" w:cs="Times New Roman"/>
                <w:color w:val="000000"/>
                <w:lang w:val="en-GB" w:eastAsia="hu-HU"/>
              </w:rPr>
            </w:pPr>
            <w:r>
              <w:rPr>
                <w:rFonts w:ascii="Calibri" w:eastAsia="Times New Roman" w:hAnsi="Calibri" w:cs="Times New Roman"/>
                <w:color w:val="000000"/>
                <w:lang w:val="en-GB" w:eastAsia="hu-HU"/>
              </w:rPr>
              <w:lastRenderedPageBreak/>
              <w:t>Reducing</w:t>
            </w:r>
            <w:r w:rsidR="00FF6E68" w:rsidRPr="00227B1B">
              <w:rPr>
                <w:rFonts w:ascii="Calibri" w:eastAsia="Times New Roman" w:hAnsi="Calibri" w:cs="Times New Roman"/>
                <w:color w:val="000000"/>
                <w:lang w:val="en-GB" w:eastAsia="hu-HU"/>
              </w:rPr>
              <w:t xml:space="preserve"> bureaucracy</w:t>
            </w:r>
          </w:p>
        </w:tc>
      </w:tr>
      <w:tr w:rsidR="00FF6E68" w:rsidRPr="00FF6E68" w:rsidTr="00FF6E68">
        <w:trPr>
          <w:trHeight w:val="397"/>
        </w:trPr>
        <w:tc>
          <w:tcPr>
            <w:tcW w:w="9090" w:type="dxa"/>
            <w:tcBorders>
              <w:top w:val="nil"/>
              <w:left w:val="single" w:sz="4" w:space="0" w:color="auto"/>
              <w:bottom w:val="single" w:sz="4" w:space="0" w:color="auto"/>
              <w:right w:val="single" w:sz="4" w:space="0" w:color="auto"/>
            </w:tcBorders>
            <w:shd w:val="clear" w:color="auto" w:fill="auto"/>
            <w:hideMark/>
          </w:tcPr>
          <w:p w:rsidR="00FF6E68" w:rsidRPr="00FF6E68" w:rsidRDefault="00C204E7" w:rsidP="00FF6E68">
            <w:pPr>
              <w:spacing w:after="0" w:line="240" w:lineRule="auto"/>
              <w:rPr>
                <w:rFonts w:ascii="Calibri" w:eastAsia="Times New Roman" w:hAnsi="Calibri" w:cs="Times New Roman"/>
                <w:color w:val="000000"/>
                <w:lang w:val="en-GB" w:eastAsia="hu-HU"/>
              </w:rPr>
            </w:pPr>
            <w:r>
              <w:rPr>
                <w:rFonts w:ascii="Calibri" w:eastAsia="Times New Roman" w:hAnsi="Calibri" w:cs="Times New Roman"/>
                <w:color w:val="000000"/>
                <w:lang w:val="en-GB" w:eastAsia="hu-HU"/>
              </w:rPr>
              <w:t>Reducing</w:t>
            </w:r>
            <w:r w:rsidR="00FF6E68" w:rsidRPr="00227B1B">
              <w:rPr>
                <w:rFonts w:ascii="Calibri" w:eastAsia="Times New Roman" w:hAnsi="Calibri" w:cs="Times New Roman"/>
                <w:color w:val="000000"/>
                <w:lang w:val="en-GB" w:eastAsia="hu-HU"/>
              </w:rPr>
              <w:t xml:space="preserve"> corruption</w:t>
            </w:r>
          </w:p>
        </w:tc>
      </w:tr>
      <w:tr w:rsidR="00FF6E68" w:rsidRPr="00FF6E68" w:rsidTr="00FF6E68">
        <w:trPr>
          <w:trHeight w:val="397"/>
        </w:trPr>
        <w:tc>
          <w:tcPr>
            <w:tcW w:w="9090" w:type="dxa"/>
            <w:tcBorders>
              <w:top w:val="nil"/>
              <w:left w:val="single" w:sz="4" w:space="0" w:color="auto"/>
              <w:bottom w:val="single" w:sz="4" w:space="0" w:color="auto"/>
              <w:right w:val="single" w:sz="4" w:space="0" w:color="auto"/>
            </w:tcBorders>
            <w:shd w:val="clear" w:color="auto" w:fill="auto"/>
            <w:hideMark/>
          </w:tcPr>
          <w:p w:rsidR="00FF6E68" w:rsidRPr="00FF6E68" w:rsidRDefault="00FF6E68" w:rsidP="00FF6E68">
            <w:pPr>
              <w:spacing w:after="0" w:line="240" w:lineRule="auto"/>
              <w:rPr>
                <w:rFonts w:ascii="Calibri" w:eastAsia="Times New Roman" w:hAnsi="Calibri" w:cs="Times New Roman"/>
                <w:color w:val="000000"/>
                <w:lang w:val="en-GB" w:eastAsia="hu-HU"/>
              </w:rPr>
            </w:pPr>
            <w:r w:rsidRPr="00FF6E68">
              <w:rPr>
                <w:rFonts w:ascii="Calibri" w:eastAsia="Times New Roman" w:hAnsi="Calibri" w:cs="Times New Roman"/>
                <w:color w:val="000000"/>
                <w:lang w:val="en-GB" w:eastAsia="hu-HU"/>
              </w:rPr>
              <w:t>Carr</w:t>
            </w:r>
            <w:r w:rsidR="00B42BE2">
              <w:rPr>
                <w:rFonts w:ascii="Calibri" w:eastAsia="Times New Roman" w:hAnsi="Calibri" w:cs="Times New Roman"/>
                <w:color w:val="000000"/>
                <w:lang w:val="en-GB" w:eastAsia="hu-HU"/>
              </w:rPr>
              <w:t>y</w:t>
            </w:r>
            <w:r w:rsidRPr="00FF6E68">
              <w:rPr>
                <w:rFonts w:ascii="Calibri" w:eastAsia="Times New Roman" w:hAnsi="Calibri" w:cs="Times New Roman"/>
                <w:color w:val="000000"/>
                <w:lang w:val="en-GB" w:eastAsia="hu-HU"/>
              </w:rPr>
              <w:t>ing out an exchange of experience, establishing contacts</w:t>
            </w:r>
          </w:p>
        </w:tc>
      </w:tr>
      <w:tr w:rsidR="00FF6E68" w:rsidRPr="00FF6E68" w:rsidTr="00FF6E68">
        <w:trPr>
          <w:trHeight w:val="397"/>
        </w:trPr>
        <w:tc>
          <w:tcPr>
            <w:tcW w:w="9090" w:type="dxa"/>
            <w:tcBorders>
              <w:top w:val="nil"/>
              <w:left w:val="single" w:sz="4" w:space="0" w:color="auto"/>
              <w:bottom w:val="single" w:sz="4" w:space="0" w:color="auto"/>
              <w:right w:val="single" w:sz="4" w:space="0" w:color="auto"/>
            </w:tcBorders>
            <w:shd w:val="clear" w:color="auto" w:fill="auto"/>
            <w:hideMark/>
          </w:tcPr>
          <w:p w:rsidR="00FF6E68" w:rsidRPr="00FF6E68" w:rsidRDefault="00FF6E68" w:rsidP="00FF6E68">
            <w:pPr>
              <w:spacing w:after="0" w:line="240" w:lineRule="auto"/>
              <w:rPr>
                <w:rFonts w:ascii="Calibri" w:eastAsia="Times New Roman" w:hAnsi="Calibri" w:cs="Times New Roman"/>
                <w:color w:val="000000"/>
                <w:lang w:val="en-GB" w:eastAsia="hu-HU"/>
              </w:rPr>
            </w:pPr>
            <w:r w:rsidRPr="00FF6E68">
              <w:rPr>
                <w:rFonts w:ascii="Calibri" w:eastAsia="Times New Roman" w:hAnsi="Calibri" w:cs="Times New Roman"/>
                <w:color w:val="000000"/>
                <w:lang w:val="en-GB" w:eastAsia="hu-HU"/>
              </w:rPr>
              <w:t>Familiarizing with the requirements of the European market</w:t>
            </w:r>
          </w:p>
        </w:tc>
      </w:tr>
      <w:tr w:rsidR="00FF6E68" w:rsidRPr="00FF6E68" w:rsidTr="00FF6E68">
        <w:trPr>
          <w:trHeight w:val="397"/>
        </w:trPr>
        <w:tc>
          <w:tcPr>
            <w:tcW w:w="9090" w:type="dxa"/>
            <w:tcBorders>
              <w:top w:val="nil"/>
              <w:left w:val="single" w:sz="4" w:space="0" w:color="auto"/>
              <w:bottom w:val="single" w:sz="4" w:space="0" w:color="auto"/>
              <w:right w:val="single" w:sz="4" w:space="0" w:color="auto"/>
            </w:tcBorders>
            <w:shd w:val="clear" w:color="auto" w:fill="auto"/>
            <w:hideMark/>
          </w:tcPr>
          <w:p w:rsidR="00FF6E68" w:rsidRPr="00FF6E68" w:rsidRDefault="00FF6E68" w:rsidP="00FF6E68">
            <w:pPr>
              <w:spacing w:after="0" w:line="240" w:lineRule="auto"/>
              <w:rPr>
                <w:rFonts w:ascii="Calibri" w:eastAsia="Times New Roman" w:hAnsi="Calibri" w:cs="Times New Roman"/>
                <w:color w:val="000000"/>
                <w:lang w:val="en-GB" w:eastAsia="hu-HU"/>
              </w:rPr>
            </w:pPr>
            <w:r w:rsidRPr="00FF6E68">
              <w:rPr>
                <w:rFonts w:ascii="Calibri" w:eastAsia="Times New Roman" w:hAnsi="Calibri" w:cs="Times New Roman"/>
                <w:color w:val="000000"/>
                <w:lang w:val="en-GB" w:eastAsia="hu-HU"/>
              </w:rPr>
              <w:t>Dissemination of the best practices in the field</w:t>
            </w:r>
          </w:p>
        </w:tc>
      </w:tr>
      <w:tr w:rsidR="00FF6E68" w:rsidRPr="00FF6E68" w:rsidTr="00FF6E68">
        <w:trPr>
          <w:trHeight w:val="397"/>
        </w:trPr>
        <w:tc>
          <w:tcPr>
            <w:tcW w:w="9090" w:type="dxa"/>
            <w:tcBorders>
              <w:top w:val="nil"/>
              <w:left w:val="single" w:sz="4" w:space="0" w:color="auto"/>
              <w:bottom w:val="single" w:sz="4" w:space="0" w:color="auto"/>
              <w:right w:val="single" w:sz="4" w:space="0" w:color="auto"/>
            </w:tcBorders>
            <w:shd w:val="clear" w:color="auto" w:fill="auto"/>
            <w:hideMark/>
          </w:tcPr>
          <w:p w:rsidR="00FF6E68" w:rsidRPr="00FF6E68" w:rsidRDefault="00FF6E68" w:rsidP="00FF6E68">
            <w:pPr>
              <w:spacing w:after="0" w:line="240" w:lineRule="auto"/>
              <w:rPr>
                <w:rFonts w:ascii="Calibri" w:eastAsia="Times New Roman" w:hAnsi="Calibri" w:cs="Times New Roman"/>
                <w:color w:val="000000"/>
                <w:lang w:val="en-GB" w:eastAsia="hu-HU"/>
              </w:rPr>
            </w:pPr>
            <w:r w:rsidRPr="00FF6E68">
              <w:rPr>
                <w:rFonts w:ascii="Calibri" w:eastAsia="Times New Roman" w:hAnsi="Calibri" w:cs="Times New Roman"/>
                <w:color w:val="000000"/>
                <w:lang w:val="en-GB" w:eastAsia="hu-HU"/>
              </w:rPr>
              <w:t>Concordance of the EU and Moldavian laws/legislation</w:t>
            </w:r>
          </w:p>
        </w:tc>
      </w:tr>
      <w:tr w:rsidR="00FF6E68" w:rsidRPr="00FF6E68" w:rsidTr="00FF6E68">
        <w:trPr>
          <w:trHeight w:val="397"/>
        </w:trPr>
        <w:tc>
          <w:tcPr>
            <w:tcW w:w="9090" w:type="dxa"/>
            <w:tcBorders>
              <w:top w:val="nil"/>
              <w:left w:val="single" w:sz="4" w:space="0" w:color="auto"/>
              <w:bottom w:val="single" w:sz="4" w:space="0" w:color="auto"/>
              <w:right w:val="single" w:sz="4" w:space="0" w:color="auto"/>
            </w:tcBorders>
            <w:shd w:val="clear" w:color="auto" w:fill="auto"/>
            <w:hideMark/>
          </w:tcPr>
          <w:p w:rsidR="00FF6E68" w:rsidRPr="00FF6E68" w:rsidRDefault="00FF6E68" w:rsidP="00FF6E68">
            <w:pPr>
              <w:spacing w:after="0" w:line="240" w:lineRule="auto"/>
              <w:rPr>
                <w:rFonts w:ascii="Calibri" w:eastAsia="Times New Roman" w:hAnsi="Calibri" w:cs="Times New Roman"/>
                <w:color w:val="000000"/>
                <w:lang w:val="en-GB" w:eastAsia="hu-HU"/>
              </w:rPr>
            </w:pPr>
            <w:r w:rsidRPr="00FF6E68">
              <w:rPr>
                <w:rFonts w:ascii="Calibri" w:eastAsia="Times New Roman" w:hAnsi="Calibri" w:cs="Times New Roman"/>
                <w:color w:val="000000"/>
                <w:lang w:val="en-GB" w:eastAsia="hu-HU"/>
              </w:rPr>
              <w:t>Applying modern technique and technology</w:t>
            </w:r>
          </w:p>
        </w:tc>
      </w:tr>
      <w:tr w:rsidR="00FF6E68" w:rsidRPr="00FF6E68" w:rsidTr="00FF6E68">
        <w:trPr>
          <w:trHeight w:val="397"/>
        </w:trPr>
        <w:tc>
          <w:tcPr>
            <w:tcW w:w="9090" w:type="dxa"/>
            <w:tcBorders>
              <w:top w:val="nil"/>
              <w:left w:val="single" w:sz="4" w:space="0" w:color="auto"/>
              <w:bottom w:val="single" w:sz="4" w:space="0" w:color="auto"/>
              <w:right w:val="single" w:sz="4" w:space="0" w:color="auto"/>
            </w:tcBorders>
            <w:shd w:val="clear" w:color="auto" w:fill="auto"/>
            <w:hideMark/>
          </w:tcPr>
          <w:p w:rsidR="00FF6E68" w:rsidRPr="00FF6E68" w:rsidRDefault="00FF6E68" w:rsidP="00FF6E68">
            <w:pPr>
              <w:spacing w:after="0" w:line="240" w:lineRule="auto"/>
              <w:rPr>
                <w:rFonts w:ascii="Calibri" w:eastAsia="Times New Roman" w:hAnsi="Calibri" w:cs="Times New Roman"/>
                <w:color w:val="000000"/>
                <w:lang w:val="en-GB" w:eastAsia="hu-HU"/>
              </w:rPr>
            </w:pPr>
            <w:r w:rsidRPr="00FF6E68">
              <w:rPr>
                <w:rFonts w:ascii="Calibri" w:eastAsia="Times New Roman" w:hAnsi="Calibri" w:cs="Times New Roman"/>
                <w:color w:val="000000"/>
                <w:lang w:val="en-GB" w:eastAsia="hu-HU"/>
              </w:rPr>
              <w:t>Training of specialists in relevant fields</w:t>
            </w:r>
          </w:p>
        </w:tc>
      </w:tr>
    </w:tbl>
    <w:p w:rsidR="00FF6E68" w:rsidRDefault="00FF6E68" w:rsidP="00CC77AD">
      <w:pPr>
        <w:jc w:val="both"/>
        <w:rPr>
          <w:lang w:val="en-GB"/>
        </w:rPr>
      </w:pPr>
    </w:p>
    <w:p w:rsidR="00F21901" w:rsidRPr="00227B1B" w:rsidRDefault="006821A1" w:rsidP="00CC77AD">
      <w:pPr>
        <w:jc w:val="both"/>
        <w:rPr>
          <w:lang w:val="en-GB"/>
        </w:rPr>
      </w:pPr>
      <w:r>
        <w:rPr>
          <w:lang w:val="en-GB"/>
        </w:rPr>
        <w:t>The current project aims at providing</w:t>
      </w:r>
      <w:r w:rsidR="00F922DE">
        <w:rPr>
          <w:lang w:val="en-GB"/>
        </w:rPr>
        <w:t xml:space="preserve"> support on various domains. The responding experts are invited to the Moldovan expert workshop that discusses the preliminary results and draft Green Paper prepared. </w:t>
      </w:r>
    </w:p>
    <w:sectPr w:rsidR="00F21901" w:rsidRPr="00227B1B" w:rsidSect="00696BB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F38" w:rsidRDefault="00045F38" w:rsidP="00864403">
      <w:pPr>
        <w:spacing w:after="0" w:line="240" w:lineRule="auto"/>
      </w:pPr>
      <w:r>
        <w:separator/>
      </w:r>
    </w:p>
  </w:endnote>
  <w:endnote w:type="continuationSeparator" w:id="1">
    <w:p w:rsidR="00045F38" w:rsidRDefault="00045F38" w:rsidP="00864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F38" w:rsidRDefault="00045F38" w:rsidP="00864403">
      <w:pPr>
        <w:spacing w:after="0" w:line="240" w:lineRule="auto"/>
      </w:pPr>
      <w:r>
        <w:separator/>
      </w:r>
    </w:p>
  </w:footnote>
  <w:footnote w:type="continuationSeparator" w:id="1">
    <w:p w:rsidR="00045F38" w:rsidRDefault="00045F38" w:rsidP="008644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D4" w:rsidRDefault="00B757D4" w:rsidP="00864403">
    <w:pPr>
      <w:pStyle w:val="lfej"/>
      <w:jc w:val="center"/>
      <w:rPr>
        <w:rFonts w:ascii="Calibri" w:eastAsia="Calibri" w:hAnsi="Calibri" w:cs="Times New Roman"/>
        <w:bCs/>
        <w:sz w:val="18"/>
        <w:szCs w:val="18"/>
        <w:lang w:val="en-US"/>
      </w:rPr>
    </w:pPr>
    <w:r w:rsidRPr="005E6496">
      <w:rPr>
        <w:rFonts w:ascii="Calibri" w:eastAsia="Calibri" w:hAnsi="Calibri" w:cs="Times New Roman"/>
        <w:bCs/>
        <w:sz w:val="18"/>
        <w:szCs w:val="18"/>
        <w:lang w:val="en-US"/>
      </w:rPr>
      <w:t>TRANSFER OF KNOW-HOW TO SMALL AND MID-SIZE BUSINESSES IN GEORGIA, MOLDOVA AND UKRAINE</w:t>
    </w:r>
  </w:p>
  <w:p w:rsidR="00B757D4" w:rsidRPr="00227B1B" w:rsidRDefault="00B757D4" w:rsidP="00864403">
    <w:pPr>
      <w:pStyle w:val="lfej"/>
      <w:jc w:val="center"/>
      <w:rPr>
        <w:bCs/>
        <w:sz w:val="18"/>
        <w:szCs w:val="18"/>
        <w:lang w:val="en-GB"/>
      </w:rPr>
    </w:pPr>
    <w:r w:rsidRPr="00227B1B">
      <w:rPr>
        <w:bCs/>
        <w:sz w:val="18"/>
        <w:szCs w:val="18"/>
        <w:lang w:val="en-GB"/>
      </w:rPr>
      <w:t>Uniform questionnaire - Moldova – evaluation</w:t>
    </w:r>
  </w:p>
  <w:p w:rsidR="00B757D4" w:rsidRPr="00864403" w:rsidRDefault="00B757D4" w:rsidP="00864403">
    <w:pPr>
      <w:pStyle w:val="lfej"/>
      <w:jc w:val="center"/>
      <w:rPr>
        <w:bCs/>
        <w:sz w:val="18"/>
        <w:szCs w:val="18"/>
        <w:lang w:val="en-US"/>
      </w:rPr>
    </w:pPr>
    <w:r w:rsidRPr="00864403">
      <w:rPr>
        <w:bCs/>
        <w:sz w:val="18"/>
        <w:szCs w:val="18"/>
        <w:lang w:val="en-US"/>
      </w:rPr>
      <w:t>ICEG European Center</w:t>
    </w:r>
  </w:p>
  <w:p w:rsidR="00B757D4" w:rsidRDefault="00B757D4">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86FF5"/>
    <w:multiLevelType w:val="hybridMultilevel"/>
    <w:tmpl w:val="2D544014"/>
    <w:lvl w:ilvl="0" w:tplc="94E6CA5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D55DD6"/>
    <w:rsid w:val="000076D6"/>
    <w:rsid w:val="000177D0"/>
    <w:rsid w:val="00045F38"/>
    <w:rsid w:val="00062426"/>
    <w:rsid w:val="0008649F"/>
    <w:rsid w:val="000C0721"/>
    <w:rsid w:val="00152D3E"/>
    <w:rsid w:val="00215F4D"/>
    <w:rsid w:val="00222F0F"/>
    <w:rsid w:val="00227B1B"/>
    <w:rsid w:val="002B18CF"/>
    <w:rsid w:val="002C37DE"/>
    <w:rsid w:val="00356EA2"/>
    <w:rsid w:val="003C24B0"/>
    <w:rsid w:val="004464D8"/>
    <w:rsid w:val="00503D9D"/>
    <w:rsid w:val="005C2EFC"/>
    <w:rsid w:val="005D0A1F"/>
    <w:rsid w:val="005F75BB"/>
    <w:rsid w:val="00600A7F"/>
    <w:rsid w:val="006407A6"/>
    <w:rsid w:val="006821A1"/>
    <w:rsid w:val="00696BBB"/>
    <w:rsid w:val="006A5CC5"/>
    <w:rsid w:val="006D3337"/>
    <w:rsid w:val="00702461"/>
    <w:rsid w:val="007433E4"/>
    <w:rsid w:val="007E23FA"/>
    <w:rsid w:val="007E7D14"/>
    <w:rsid w:val="00844D35"/>
    <w:rsid w:val="00864403"/>
    <w:rsid w:val="008673DB"/>
    <w:rsid w:val="008D60E4"/>
    <w:rsid w:val="0092609B"/>
    <w:rsid w:val="0093779D"/>
    <w:rsid w:val="00946982"/>
    <w:rsid w:val="009D06A4"/>
    <w:rsid w:val="00A36559"/>
    <w:rsid w:val="00A63402"/>
    <w:rsid w:val="00A964B7"/>
    <w:rsid w:val="00AE78AA"/>
    <w:rsid w:val="00AF7CE6"/>
    <w:rsid w:val="00B3315C"/>
    <w:rsid w:val="00B42BE2"/>
    <w:rsid w:val="00B757D4"/>
    <w:rsid w:val="00B91A48"/>
    <w:rsid w:val="00B92681"/>
    <w:rsid w:val="00B9743C"/>
    <w:rsid w:val="00C126ED"/>
    <w:rsid w:val="00C13352"/>
    <w:rsid w:val="00C204E7"/>
    <w:rsid w:val="00C249B8"/>
    <w:rsid w:val="00C56A01"/>
    <w:rsid w:val="00C60C35"/>
    <w:rsid w:val="00CC2477"/>
    <w:rsid w:val="00CC77AD"/>
    <w:rsid w:val="00D54162"/>
    <w:rsid w:val="00D55DD6"/>
    <w:rsid w:val="00DA56F7"/>
    <w:rsid w:val="00E01181"/>
    <w:rsid w:val="00E2741D"/>
    <w:rsid w:val="00E30E10"/>
    <w:rsid w:val="00E507A0"/>
    <w:rsid w:val="00E5116D"/>
    <w:rsid w:val="00E57476"/>
    <w:rsid w:val="00E6480B"/>
    <w:rsid w:val="00E66C4B"/>
    <w:rsid w:val="00F00730"/>
    <w:rsid w:val="00F21901"/>
    <w:rsid w:val="00F56415"/>
    <w:rsid w:val="00F922DE"/>
    <w:rsid w:val="00FB50D2"/>
    <w:rsid w:val="00FF6E68"/>
    <w:rsid w:val="00FF718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96BB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152D3E"/>
    <w:pPr>
      <w:autoSpaceDE w:val="0"/>
      <w:autoSpaceDN w:val="0"/>
      <w:adjustRightInd w:val="0"/>
      <w:spacing w:after="0" w:line="240" w:lineRule="auto"/>
    </w:pPr>
    <w:rPr>
      <w:rFonts w:ascii="Calibri" w:hAnsi="Calibri" w:cs="Calibri"/>
      <w:color w:val="000000"/>
      <w:sz w:val="24"/>
      <w:szCs w:val="24"/>
    </w:rPr>
  </w:style>
  <w:style w:type="paragraph" w:styleId="Listaszerbekezds">
    <w:name w:val="List Paragraph"/>
    <w:basedOn w:val="Norml"/>
    <w:uiPriority w:val="34"/>
    <w:qFormat/>
    <w:rsid w:val="00E6480B"/>
    <w:pPr>
      <w:ind w:left="720"/>
      <w:contextualSpacing/>
    </w:pPr>
  </w:style>
  <w:style w:type="paragraph" w:styleId="lfej">
    <w:name w:val="header"/>
    <w:basedOn w:val="Norml"/>
    <w:link w:val="lfejChar"/>
    <w:uiPriority w:val="99"/>
    <w:unhideWhenUsed/>
    <w:rsid w:val="00864403"/>
    <w:pPr>
      <w:tabs>
        <w:tab w:val="center" w:pos="4536"/>
        <w:tab w:val="right" w:pos="9072"/>
      </w:tabs>
      <w:spacing w:after="0" w:line="240" w:lineRule="auto"/>
    </w:pPr>
  </w:style>
  <w:style w:type="character" w:customStyle="1" w:styleId="lfejChar">
    <w:name w:val="Élőfej Char"/>
    <w:basedOn w:val="Bekezdsalapbettpusa"/>
    <w:link w:val="lfej"/>
    <w:uiPriority w:val="99"/>
    <w:rsid w:val="00864403"/>
  </w:style>
  <w:style w:type="paragraph" w:styleId="llb">
    <w:name w:val="footer"/>
    <w:basedOn w:val="Norml"/>
    <w:link w:val="llbChar"/>
    <w:uiPriority w:val="99"/>
    <w:semiHidden/>
    <w:unhideWhenUsed/>
    <w:rsid w:val="00864403"/>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864403"/>
  </w:style>
  <w:style w:type="paragraph" w:styleId="Buborkszveg">
    <w:name w:val="Balloon Text"/>
    <w:basedOn w:val="Norml"/>
    <w:link w:val="BuborkszvegChar"/>
    <w:uiPriority w:val="99"/>
    <w:semiHidden/>
    <w:unhideWhenUsed/>
    <w:rsid w:val="0086440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644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4922">
      <w:bodyDiv w:val="1"/>
      <w:marLeft w:val="0"/>
      <w:marRight w:val="0"/>
      <w:marTop w:val="0"/>
      <w:marBottom w:val="0"/>
      <w:divBdr>
        <w:top w:val="none" w:sz="0" w:space="0" w:color="auto"/>
        <w:left w:val="none" w:sz="0" w:space="0" w:color="auto"/>
        <w:bottom w:val="none" w:sz="0" w:space="0" w:color="auto"/>
        <w:right w:val="none" w:sz="0" w:space="0" w:color="auto"/>
      </w:divBdr>
    </w:div>
    <w:div w:id="70977013">
      <w:bodyDiv w:val="1"/>
      <w:marLeft w:val="0"/>
      <w:marRight w:val="0"/>
      <w:marTop w:val="0"/>
      <w:marBottom w:val="0"/>
      <w:divBdr>
        <w:top w:val="none" w:sz="0" w:space="0" w:color="auto"/>
        <w:left w:val="none" w:sz="0" w:space="0" w:color="auto"/>
        <w:bottom w:val="none" w:sz="0" w:space="0" w:color="auto"/>
        <w:right w:val="none" w:sz="0" w:space="0" w:color="auto"/>
      </w:divBdr>
    </w:div>
    <w:div w:id="170923190">
      <w:bodyDiv w:val="1"/>
      <w:marLeft w:val="0"/>
      <w:marRight w:val="0"/>
      <w:marTop w:val="0"/>
      <w:marBottom w:val="0"/>
      <w:divBdr>
        <w:top w:val="none" w:sz="0" w:space="0" w:color="auto"/>
        <w:left w:val="none" w:sz="0" w:space="0" w:color="auto"/>
        <w:bottom w:val="none" w:sz="0" w:space="0" w:color="auto"/>
        <w:right w:val="none" w:sz="0" w:space="0" w:color="auto"/>
      </w:divBdr>
    </w:div>
    <w:div w:id="654337734">
      <w:bodyDiv w:val="1"/>
      <w:marLeft w:val="0"/>
      <w:marRight w:val="0"/>
      <w:marTop w:val="0"/>
      <w:marBottom w:val="0"/>
      <w:divBdr>
        <w:top w:val="none" w:sz="0" w:space="0" w:color="auto"/>
        <w:left w:val="none" w:sz="0" w:space="0" w:color="auto"/>
        <w:bottom w:val="none" w:sz="0" w:space="0" w:color="auto"/>
        <w:right w:val="none" w:sz="0" w:space="0" w:color="auto"/>
      </w:divBdr>
    </w:div>
    <w:div w:id="717124684">
      <w:bodyDiv w:val="1"/>
      <w:marLeft w:val="0"/>
      <w:marRight w:val="0"/>
      <w:marTop w:val="0"/>
      <w:marBottom w:val="0"/>
      <w:divBdr>
        <w:top w:val="none" w:sz="0" w:space="0" w:color="auto"/>
        <w:left w:val="none" w:sz="0" w:space="0" w:color="auto"/>
        <w:bottom w:val="none" w:sz="0" w:space="0" w:color="auto"/>
        <w:right w:val="none" w:sz="0" w:space="0" w:color="auto"/>
      </w:divBdr>
    </w:div>
    <w:div w:id="845246988">
      <w:bodyDiv w:val="1"/>
      <w:marLeft w:val="0"/>
      <w:marRight w:val="0"/>
      <w:marTop w:val="0"/>
      <w:marBottom w:val="0"/>
      <w:divBdr>
        <w:top w:val="none" w:sz="0" w:space="0" w:color="auto"/>
        <w:left w:val="none" w:sz="0" w:space="0" w:color="auto"/>
        <w:bottom w:val="none" w:sz="0" w:space="0" w:color="auto"/>
        <w:right w:val="none" w:sz="0" w:space="0" w:color="auto"/>
      </w:divBdr>
    </w:div>
    <w:div w:id="872694443">
      <w:bodyDiv w:val="1"/>
      <w:marLeft w:val="0"/>
      <w:marRight w:val="0"/>
      <w:marTop w:val="0"/>
      <w:marBottom w:val="0"/>
      <w:divBdr>
        <w:top w:val="none" w:sz="0" w:space="0" w:color="auto"/>
        <w:left w:val="none" w:sz="0" w:space="0" w:color="auto"/>
        <w:bottom w:val="none" w:sz="0" w:space="0" w:color="auto"/>
        <w:right w:val="none" w:sz="0" w:space="0" w:color="auto"/>
      </w:divBdr>
    </w:div>
    <w:div w:id="1141310416">
      <w:bodyDiv w:val="1"/>
      <w:marLeft w:val="0"/>
      <w:marRight w:val="0"/>
      <w:marTop w:val="0"/>
      <w:marBottom w:val="0"/>
      <w:divBdr>
        <w:top w:val="none" w:sz="0" w:space="0" w:color="auto"/>
        <w:left w:val="none" w:sz="0" w:space="0" w:color="auto"/>
        <w:bottom w:val="none" w:sz="0" w:space="0" w:color="auto"/>
        <w:right w:val="none" w:sz="0" w:space="0" w:color="auto"/>
      </w:divBdr>
    </w:div>
    <w:div w:id="1164852929">
      <w:bodyDiv w:val="1"/>
      <w:marLeft w:val="0"/>
      <w:marRight w:val="0"/>
      <w:marTop w:val="0"/>
      <w:marBottom w:val="0"/>
      <w:divBdr>
        <w:top w:val="none" w:sz="0" w:space="0" w:color="auto"/>
        <w:left w:val="none" w:sz="0" w:space="0" w:color="auto"/>
        <w:bottom w:val="none" w:sz="0" w:space="0" w:color="auto"/>
        <w:right w:val="none" w:sz="0" w:space="0" w:color="auto"/>
      </w:divBdr>
    </w:div>
    <w:div w:id="1298562773">
      <w:bodyDiv w:val="1"/>
      <w:marLeft w:val="0"/>
      <w:marRight w:val="0"/>
      <w:marTop w:val="0"/>
      <w:marBottom w:val="0"/>
      <w:divBdr>
        <w:top w:val="none" w:sz="0" w:space="0" w:color="auto"/>
        <w:left w:val="none" w:sz="0" w:space="0" w:color="auto"/>
        <w:bottom w:val="none" w:sz="0" w:space="0" w:color="auto"/>
        <w:right w:val="none" w:sz="0" w:space="0" w:color="auto"/>
      </w:divBdr>
    </w:div>
    <w:div w:id="1472209870">
      <w:bodyDiv w:val="1"/>
      <w:marLeft w:val="0"/>
      <w:marRight w:val="0"/>
      <w:marTop w:val="0"/>
      <w:marBottom w:val="0"/>
      <w:divBdr>
        <w:top w:val="none" w:sz="0" w:space="0" w:color="auto"/>
        <w:left w:val="none" w:sz="0" w:space="0" w:color="auto"/>
        <w:bottom w:val="none" w:sz="0" w:space="0" w:color="auto"/>
        <w:right w:val="none" w:sz="0" w:space="0" w:color="auto"/>
      </w:divBdr>
    </w:div>
    <w:div w:id="1488592257">
      <w:bodyDiv w:val="1"/>
      <w:marLeft w:val="0"/>
      <w:marRight w:val="0"/>
      <w:marTop w:val="0"/>
      <w:marBottom w:val="0"/>
      <w:divBdr>
        <w:top w:val="none" w:sz="0" w:space="0" w:color="auto"/>
        <w:left w:val="none" w:sz="0" w:space="0" w:color="auto"/>
        <w:bottom w:val="none" w:sz="0" w:space="0" w:color="auto"/>
        <w:right w:val="none" w:sz="0" w:space="0" w:color="auto"/>
      </w:divBdr>
    </w:div>
    <w:div w:id="1578975080">
      <w:bodyDiv w:val="1"/>
      <w:marLeft w:val="0"/>
      <w:marRight w:val="0"/>
      <w:marTop w:val="0"/>
      <w:marBottom w:val="0"/>
      <w:divBdr>
        <w:top w:val="none" w:sz="0" w:space="0" w:color="auto"/>
        <w:left w:val="none" w:sz="0" w:space="0" w:color="auto"/>
        <w:bottom w:val="none" w:sz="0" w:space="0" w:color="auto"/>
        <w:right w:val="none" w:sz="0" w:space="0" w:color="auto"/>
      </w:divBdr>
    </w:div>
    <w:div w:id="1681741144">
      <w:bodyDiv w:val="1"/>
      <w:marLeft w:val="0"/>
      <w:marRight w:val="0"/>
      <w:marTop w:val="0"/>
      <w:marBottom w:val="0"/>
      <w:divBdr>
        <w:top w:val="none" w:sz="0" w:space="0" w:color="auto"/>
        <w:left w:val="none" w:sz="0" w:space="0" w:color="auto"/>
        <w:bottom w:val="none" w:sz="0" w:space="0" w:color="auto"/>
        <w:right w:val="none" w:sz="0" w:space="0" w:color="auto"/>
      </w:divBdr>
    </w:div>
    <w:div w:id="1999115015">
      <w:bodyDiv w:val="1"/>
      <w:marLeft w:val="0"/>
      <w:marRight w:val="0"/>
      <w:marTop w:val="0"/>
      <w:marBottom w:val="0"/>
      <w:divBdr>
        <w:top w:val="none" w:sz="0" w:space="0" w:color="auto"/>
        <w:left w:val="none" w:sz="0" w:space="0" w:color="auto"/>
        <w:bottom w:val="none" w:sz="0" w:space="0" w:color="auto"/>
        <w:right w:val="none" w:sz="0" w:space="0" w:color="auto"/>
      </w:divBdr>
    </w:div>
    <w:div w:id="20845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2028</Words>
  <Characters>13996</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ICEG EC KFT.</Company>
  <LinksUpToDate>false</LinksUpToDate>
  <CharactersWithSpaces>15993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Jaksa Renáta Anna</dc:creator>
  <cp:keywords/>
  <dc:description/>
  <cp:lastModifiedBy>Jaksa Renáta Anna</cp:lastModifiedBy>
  <cp:revision>67</cp:revision>
  <dcterms:created xsi:type="dcterms:W3CDTF">2014-04-11T08:12:00Z</dcterms:created>
  <dcterms:modified xsi:type="dcterms:W3CDTF">2014-04-11T11:09:00Z</dcterms:modified>
</cp:coreProperties>
</file>